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AAAF1" w14:textId="63A87836" w:rsidR="00AD3402" w:rsidRPr="006468DE" w:rsidRDefault="001B403D" w:rsidP="00AD340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BLOS </w:t>
      </w:r>
      <w:proofErr w:type="spellStart"/>
      <w:r w:rsidR="00AD3402" w:rsidRPr="006468DE">
        <w:rPr>
          <w:rFonts w:ascii="Calibri" w:hAnsi="Calibri"/>
          <w:sz w:val="22"/>
          <w:szCs w:val="22"/>
        </w:rPr>
        <w:t>HazCom</w:t>
      </w:r>
      <w:proofErr w:type="spellEnd"/>
    </w:p>
    <w:p w14:paraId="348CD81D" w14:textId="77777777" w:rsidR="00AD3402" w:rsidRPr="002A4AA3" w:rsidRDefault="00AD3402">
      <w:pPr>
        <w:rPr>
          <w:b/>
          <w:sz w:val="20"/>
          <w:szCs w:val="20"/>
        </w:rPr>
      </w:pPr>
    </w:p>
    <w:p w14:paraId="1A4B8E0E" w14:textId="77777777" w:rsidR="00AD3402" w:rsidRPr="006468DE" w:rsidRDefault="00023FF1" w:rsidP="00AD3402">
      <w:pPr>
        <w:jc w:val="center"/>
        <w:rPr>
          <w:rFonts w:ascii="Calibri" w:hAnsi="Calibri"/>
          <w:b/>
          <w:sz w:val="28"/>
          <w:szCs w:val="28"/>
        </w:rPr>
      </w:pPr>
      <w:r w:rsidRPr="006468DE">
        <w:rPr>
          <w:rFonts w:ascii="Calibri" w:hAnsi="Calibri"/>
          <w:b/>
          <w:sz w:val="28"/>
          <w:szCs w:val="28"/>
        </w:rPr>
        <w:t>Bigelow Laboratory for Ocean Sciences</w:t>
      </w:r>
    </w:p>
    <w:p w14:paraId="5F95676E" w14:textId="77777777" w:rsidR="00E04818" w:rsidRDefault="00DB57B7" w:rsidP="00AD3402">
      <w:pPr>
        <w:jc w:val="center"/>
        <w:rPr>
          <w:rFonts w:ascii="Calibri" w:hAnsi="Calibri"/>
          <w:b/>
          <w:sz w:val="28"/>
          <w:szCs w:val="28"/>
        </w:rPr>
      </w:pPr>
      <w:r w:rsidRPr="006468DE">
        <w:rPr>
          <w:rFonts w:ascii="Calibri" w:hAnsi="Calibri"/>
          <w:b/>
          <w:sz w:val="28"/>
          <w:szCs w:val="28"/>
        </w:rPr>
        <w:t>Biosafety</w:t>
      </w:r>
      <w:r w:rsidR="00AD3402" w:rsidRPr="006468DE">
        <w:rPr>
          <w:rFonts w:ascii="Calibri" w:hAnsi="Calibri"/>
          <w:b/>
          <w:sz w:val="28"/>
          <w:szCs w:val="28"/>
        </w:rPr>
        <w:t xml:space="preserve"> </w:t>
      </w:r>
      <w:r w:rsidR="00023FF1" w:rsidRPr="006468DE">
        <w:rPr>
          <w:rFonts w:ascii="Calibri" w:hAnsi="Calibri"/>
          <w:b/>
          <w:sz w:val="28"/>
          <w:szCs w:val="28"/>
        </w:rPr>
        <w:t>Polic</w:t>
      </w:r>
      <w:r w:rsidR="00AD3402" w:rsidRPr="006468DE">
        <w:rPr>
          <w:rFonts w:ascii="Calibri" w:hAnsi="Calibri"/>
          <w:b/>
          <w:sz w:val="28"/>
          <w:szCs w:val="28"/>
        </w:rPr>
        <w:t>y</w:t>
      </w:r>
      <w:r w:rsidR="00023D82">
        <w:rPr>
          <w:rFonts w:ascii="Calibri" w:hAnsi="Calibri"/>
          <w:b/>
          <w:sz w:val="28"/>
          <w:szCs w:val="28"/>
        </w:rPr>
        <w:t xml:space="preserve"> &amp; Institutional Biosafety Committee</w:t>
      </w:r>
    </w:p>
    <w:p w14:paraId="01ADD795" w14:textId="77777777" w:rsidR="00590330" w:rsidRPr="006468DE" w:rsidRDefault="00590330" w:rsidP="00AD340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Version </w:t>
      </w:r>
      <w:r w:rsidR="00375F6B">
        <w:rPr>
          <w:rFonts w:ascii="Calibri" w:hAnsi="Calibri"/>
          <w:b/>
          <w:sz w:val="28"/>
          <w:szCs w:val="28"/>
        </w:rPr>
        <w:t>3</w:t>
      </w:r>
      <w:r w:rsidR="00116F1C">
        <w:rPr>
          <w:rFonts w:ascii="Calibri" w:hAnsi="Calibri"/>
          <w:b/>
          <w:sz w:val="28"/>
          <w:szCs w:val="28"/>
        </w:rPr>
        <w:t>.0</w:t>
      </w:r>
      <w:r>
        <w:rPr>
          <w:rFonts w:ascii="Calibri" w:hAnsi="Calibri"/>
          <w:b/>
          <w:sz w:val="28"/>
          <w:szCs w:val="28"/>
        </w:rPr>
        <w:t xml:space="preserve">, Updated: </w:t>
      </w:r>
      <w:r w:rsidR="00444969">
        <w:rPr>
          <w:rFonts w:ascii="Calibri" w:hAnsi="Calibri"/>
          <w:b/>
          <w:sz w:val="28"/>
          <w:szCs w:val="28"/>
        </w:rPr>
        <w:t>May 20, 2020</w:t>
      </w:r>
    </w:p>
    <w:p w14:paraId="053422D5" w14:textId="77777777" w:rsidR="00023FF1" w:rsidRPr="00305E39" w:rsidRDefault="00023FF1">
      <w:pPr>
        <w:rPr>
          <w:rFonts w:ascii="Calibri" w:hAnsi="Calibri"/>
          <w:sz w:val="16"/>
          <w:szCs w:val="16"/>
        </w:rPr>
      </w:pPr>
    </w:p>
    <w:p w14:paraId="3C290598" w14:textId="77777777" w:rsidR="006468DE" w:rsidRDefault="006468DE" w:rsidP="0017023B">
      <w:pPr>
        <w:pStyle w:val="ColorfulList-Accent11"/>
        <w:ind w:left="0"/>
        <w:jc w:val="both"/>
      </w:pPr>
      <w:r>
        <w:t>The primary responsibilities of the Institutional Biosafety Committee (IBC) are t</w:t>
      </w:r>
      <w:r w:rsidR="002F508A">
        <w:t>hree</w:t>
      </w:r>
      <w:r>
        <w:t xml:space="preserve">-fold: </w:t>
      </w:r>
    </w:p>
    <w:p w14:paraId="0CC87C3E" w14:textId="77777777" w:rsidR="006468DE" w:rsidRDefault="006468DE" w:rsidP="0017023B">
      <w:pPr>
        <w:pStyle w:val="ColorfulList-Accent11"/>
        <w:ind w:left="0"/>
        <w:jc w:val="both"/>
      </w:pPr>
      <w:r>
        <w:t xml:space="preserve">1) to </w:t>
      </w:r>
      <w:r w:rsidR="002F508A">
        <w:t xml:space="preserve">provide general oversight of all research involving </w:t>
      </w:r>
      <w:r w:rsidR="009040ED">
        <w:t xml:space="preserve">potential health </w:t>
      </w:r>
      <w:r w:rsidR="005E3A7F">
        <w:t xml:space="preserve">and environmental </w:t>
      </w:r>
      <w:r w:rsidR="009040ED">
        <w:t xml:space="preserve">hazards, and in particular those in </w:t>
      </w:r>
      <w:r w:rsidR="00FE0033">
        <w:t xml:space="preserve">NIH and CDC recognized </w:t>
      </w:r>
      <w:proofErr w:type="spellStart"/>
      <w:r w:rsidR="002F508A">
        <w:t>BioSafety</w:t>
      </w:r>
      <w:proofErr w:type="spellEnd"/>
      <w:r w:rsidR="002F508A">
        <w:t xml:space="preserve"> Level</w:t>
      </w:r>
      <w:r w:rsidR="00E06627">
        <w:t xml:space="preserve"> categories</w:t>
      </w:r>
      <w:r w:rsidR="00FE0033">
        <w:t xml:space="preserve"> </w:t>
      </w:r>
      <w:r w:rsidR="00D97279">
        <w:t>as defined in the table below</w:t>
      </w:r>
      <w:r w:rsidR="00FE0033">
        <w:t>;</w:t>
      </w:r>
      <w:r w:rsidR="002F508A">
        <w:t xml:space="preserve"> 2) to </w:t>
      </w:r>
      <w:r>
        <w:t>oversee the evaluation and approval process for proposals using recombinant DNA technologies</w:t>
      </w:r>
      <w:r w:rsidR="002F508A">
        <w:t xml:space="preserve"> on all organisms</w:t>
      </w:r>
      <w:r w:rsidR="00FE0033">
        <w:t>;</w:t>
      </w:r>
      <w:r>
        <w:t xml:space="preserve"> and </w:t>
      </w:r>
      <w:r w:rsidR="002F508A">
        <w:t>3</w:t>
      </w:r>
      <w:r>
        <w:t>) to ensure researcher compliance with the Bigelow Laboratory Polic</w:t>
      </w:r>
      <w:r w:rsidR="009040ED">
        <w:t>ies</w:t>
      </w:r>
      <w:r>
        <w:t xml:space="preserve"> on Genetic Manipulation</w:t>
      </w:r>
      <w:r w:rsidR="009040ED">
        <w:t>, Biosafety research</w:t>
      </w:r>
      <w:r>
        <w:t xml:space="preserve"> and the </w:t>
      </w:r>
      <w:r w:rsidR="00FE0033">
        <w:t xml:space="preserve">CDC and </w:t>
      </w:r>
      <w:r>
        <w:t xml:space="preserve">NIH guidelines on this topic, in particular those related to the health and safety of the environment and surrounding community. </w:t>
      </w:r>
    </w:p>
    <w:tbl>
      <w:tblPr>
        <w:tblW w:w="94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6"/>
        <w:gridCol w:w="2118"/>
        <w:gridCol w:w="2118"/>
        <w:gridCol w:w="2118"/>
        <w:gridCol w:w="2119"/>
      </w:tblGrid>
      <w:tr w:rsidR="008F33DD" w:rsidRPr="0012100C" w14:paraId="54CB7C0A" w14:textId="77777777" w:rsidTr="00B13003">
        <w:trPr>
          <w:trHeight w:val="51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0D86" w14:textId="77777777" w:rsidR="008F33DD" w:rsidRPr="00F030ED" w:rsidRDefault="008F33DD" w:rsidP="00053F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Biosafety Levels</w:t>
            </w:r>
            <w:r w:rsidR="005D37A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8D98" w14:textId="77777777" w:rsidR="008F33DD" w:rsidRPr="00F030ED" w:rsidRDefault="008F33DD" w:rsidP="00F17114">
            <w:pPr>
              <w:jc w:val="center"/>
              <w:rPr>
                <w:color w:val="000000"/>
                <w:sz w:val="18"/>
                <w:szCs w:val="18"/>
              </w:rPr>
            </w:pPr>
            <w:r w:rsidRPr="00F030ED">
              <w:rPr>
                <w:color w:val="000000"/>
                <w:sz w:val="18"/>
                <w:szCs w:val="18"/>
              </w:rPr>
              <w:t>Exempt BSL-1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7BD" w14:textId="77777777" w:rsidR="008F33DD" w:rsidRPr="00F030ED" w:rsidRDefault="008F33DD" w:rsidP="00F17114">
            <w:pPr>
              <w:jc w:val="center"/>
              <w:rPr>
                <w:color w:val="000000"/>
                <w:sz w:val="18"/>
                <w:szCs w:val="18"/>
              </w:rPr>
            </w:pPr>
            <w:r w:rsidRPr="00F030ED">
              <w:rPr>
                <w:color w:val="000000"/>
                <w:sz w:val="18"/>
                <w:szCs w:val="18"/>
              </w:rPr>
              <w:t>BSL-1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3E23" w14:textId="77777777" w:rsidR="008F33DD" w:rsidRPr="00F030ED" w:rsidRDefault="008F33DD" w:rsidP="00F17114">
            <w:pPr>
              <w:jc w:val="center"/>
              <w:rPr>
                <w:color w:val="000000"/>
                <w:sz w:val="18"/>
                <w:szCs w:val="18"/>
              </w:rPr>
            </w:pPr>
            <w:r w:rsidRPr="00F030ED">
              <w:rPr>
                <w:color w:val="000000"/>
                <w:sz w:val="18"/>
                <w:szCs w:val="18"/>
              </w:rPr>
              <w:t>BSL-2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7B56" w14:textId="77777777" w:rsidR="008F33DD" w:rsidRPr="00F030ED" w:rsidRDefault="008F33DD" w:rsidP="001643A8">
            <w:pPr>
              <w:jc w:val="center"/>
              <w:rPr>
                <w:color w:val="000000"/>
                <w:sz w:val="18"/>
                <w:szCs w:val="18"/>
              </w:rPr>
            </w:pPr>
            <w:r w:rsidRPr="00F030ED">
              <w:rPr>
                <w:color w:val="000000"/>
                <w:sz w:val="18"/>
                <w:szCs w:val="18"/>
              </w:rPr>
              <w:t>BSL-</w:t>
            </w:r>
            <w:r w:rsidR="001643A8">
              <w:rPr>
                <w:color w:val="000000"/>
                <w:sz w:val="18"/>
                <w:szCs w:val="18"/>
              </w:rPr>
              <w:t>3</w:t>
            </w:r>
          </w:p>
        </w:tc>
      </w:tr>
      <w:tr w:rsidR="008F33DD" w:rsidRPr="0012100C" w14:paraId="06AE8733" w14:textId="77777777" w:rsidTr="001C35A3">
        <w:trPr>
          <w:trHeight w:val="367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77C2" w14:textId="77777777" w:rsidR="008F33DD" w:rsidRPr="00F030ED" w:rsidRDefault="00A75773" w:rsidP="009E4D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Definition</w:t>
            </w:r>
            <w:r w:rsidR="001643A8">
              <w:rPr>
                <w:color w:val="000000"/>
                <w:sz w:val="18"/>
                <w:szCs w:val="18"/>
              </w:rPr>
              <w:t>s</w:t>
            </w:r>
            <w:r w:rsidR="008F33DD" w:rsidRPr="00F030E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0512" w14:textId="77777777" w:rsidR="008F33DD" w:rsidRPr="00F030ED" w:rsidRDefault="001643A8" w:rsidP="005E3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(NIH) </w:t>
            </w:r>
            <w:r w:rsidR="005D37A8">
              <w:rPr>
                <w:color w:val="000000"/>
                <w:sz w:val="18"/>
                <w:szCs w:val="18"/>
              </w:rPr>
              <w:t>These are w</w:t>
            </w:r>
            <w:r w:rsidR="00B105E1" w:rsidRPr="00116F1C">
              <w:rPr>
                <w:color w:val="000000"/>
                <w:sz w:val="18"/>
                <w:szCs w:val="18"/>
              </w:rPr>
              <w:t xml:space="preserve">ell characterized agents </w:t>
            </w:r>
            <w:r w:rsidR="00A75773" w:rsidRPr="00A75773">
              <w:rPr>
                <w:b/>
                <w:color w:val="000000"/>
                <w:sz w:val="18"/>
                <w:szCs w:val="18"/>
              </w:rPr>
              <w:t>NOT KNOWN</w:t>
            </w:r>
            <w:r w:rsidR="00B105E1" w:rsidRPr="00116F1C">
              <w:rPr>
                <w:color w:val="000000"/>
                <w:sz w:val="18"/>
                <w:szCs w:val="18"/>
              </w:rPr>
              <w:t xml:space="preserve"> to cause disease in healthy adult humans, and </w:t>
            </w:r>
            <w:r w:rsidR="00053FB7">
              <w:rPr>
                <w:color w:val="000000"/>
                <w:sz w:val="18"/>
                <w:szCs w:val="18"/>
              </w:rPr>
              <w:t xml:space="preserve">are </w:t>
            </w:r>
            <w:r w:rsidR="00B105E1" w:rsidRPr="00116F1C">
              <w:rPr>
                <w:color w:val="000000"/>
                <w:sz w:val="18"/>
                <w:szCs w:val="18"/>
              </w:rPr>
              <w:t xml:space="preserve">of minimal potential </w:t>
            </w:r>
            <w:r w:rsidR="00A75773">
              <w:rPr>
                <w:color w:val="000000"/>
                <w:sz w:val="18"/>
                <w:szCs w:val="18"/>
              </w:rPr>
              <w:t xml:space="preserve">environmental </w:t>
            </w:r>
            <w:r w:rsidR="00B105E1" w:rsidRPr="00116F1C">
              <w:rPr>
                <w:color w:val="000000"/>
                <w:sz w:val="18"/>
                <w:szCs w:val="18"/>
              </w:rPr>
              <w:t>hazard</w:t>
            </w:r>
            <w:r w:rsidR="005D37A8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7B33" w14:textId="77777777" w:rsidR="008F33DD" w:rsidRPr="00F030ED" w:rsidRDefault="001643A8" w:rsidP="005E3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(CDC) </w:t>
            </w:r>
            <w:r w:rsidR="00A75773">
              <w:rPr>
                <w:color w:val="000000"/>
                <w:sz w:val="18"/>
                <w:szCs w:val="18"/>
              </w:rPr>
              <w:t>These are w</w:t>
            </w:r>
            <w:r w:rsidR="00B105E1" w:rsidRPr="00116F1C">
              <w:rPr>
                <w:color w:val="000000"/>
                <w:sz w:val="18"/>
                <w:szCs w:val="18"/>
              </w:rPr>
              <w:t xml:space="preserve">ell characterized agents </w:t>
            </w:r>
            <w:r w:rsidR="007E3C11" w:rsidRPr="00A75773">
              <w:rPr>
                <w:b/>
                <w:color w:val="000000"/>
                <w:sz w:val="18"/>
                <w:szCs w:val="18"/>
              </w:rPr>
              <w:t>NOT KNOWN</w:t>
            </w:r>
            <w:r w:rsidR="007E3C11" w:rsidRPr="00116F1C">
              <w:rPr>
                <w:color w:val="000000"/>
                <w:sz w:val="18"/>
                <w:szCs w:val="18"/>
              </w:rPr>
              <w:t xml:space="preserve"> </w:t>
            </w:r>
            <w:r w:rsidR="00B105E1" w:rsidRPr="00116F1C">
              <w:rPr>
                <w:color w:val="000000"/>
                <w:sz w:val="18"/>
                <w:szCs w:val="18"/>
              </w:rPr>
              <w:t xml:space="preserve">to cause disease in healthy adult humans, and </w:t>
            </w:r>
            <w:r w:rsidR="00053FB7">
              <w:rPr>
                <w:color w:val="000000"/>
                <w:sz w:val="18"/>
                <w:szCs w:val="18"/>
              </w:rPr>
              <w:t xml:space="preserve">are </w:t>
            </w:r>
            <w:r w:rsidR="00B105E1" w:rsidRPr="00116F1C">
              <w:rPr>
                <w:color w:val="000000"/>
                <w:sz w:val="18"/>
                <w:szCs w:val="18"/>
              </w:rPr>
              <w:t xml:space="preserve">of minimal potential </w:t>
            </w:r>
            <w:r w:rsidR="007E3C11">
              <w:rPr>
                <w:color w:val="000000"/>
                <w:sz w:val="18"/>
                <w:szCs w:val="18"/>
              </w:rPr>
              <w:t xml:space="preserve">environmental </w:t>
            </w:r>
            <w:r w:rsidR="00B105E1" w:rsidRPr="00116F1C">
              <w:rPr>
                <w:color w:val="000000"/>
                <w:sz w:val="18"/>
                <w:szCs w:val="18"/>
              </w:rPr>
              <w:t>hazard.</w:t>
            </w:r>
            <w:r w:rsidR="00B105E1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(NIH) </w:t>
            </w:r>
            <w:r w:rsidR="007E3C11">
              <w:rPr>
                <w:color w:val="000000"/>
                <w:sz w:val="18"/>
                <w:szCs w:val="18"/>
              </w:rPr>
              <w:t xml:space="preserve">This category ALSO </w:t>
            </w:r>
            <w:r w:rsidR="009E4DD7">
              <w:rPr>
                <w:color w:val="000000"/>
                <w:sz w:val="18"/>
                <w:szCs w:val="18"/>
              </w:rPr>
              <w:t>includes</w:t>
            </w:r>
            <w:r w:rsidR="007E3C11">
              <w:rPr>
                <w:color w:val="000000"/>
                <w:sz w:val="18"/>
                <w:szCs w:val="18"/>
              </w:rPr>
              <w:t xml:space="preserve"> </w:t>
            </w:r>
            <w:r w:rsidR="00A75773" w:rsidRPr="007E3C11">
              <w:rPr>
                <w:color w:val="000000"/>
                <w:sz w:val="18"/>
                <w:szCs w:val="18"/>
              </w:rPr>
              <w:t>c</w:t>
            </w:r>
            <w:r w:rsidR="008F33DD" w:rsidRPr="007E3C11">
              <w:rPr>
                <w:color w:val="000000"/>
                <w:sz w:val="18"/>
                <w:szCs w:val="18"/>
              </w:rPr>
              <w:t>ells from</w:t>
            </w:r>
            <w:r w:rsidR="00B105E1" w:rsidRPr="007E3C11">
              <w:rPr>
                <w:color w:val="000000"/>
                <w:sz w:val="18"/>
                <w:szCs w:val="18"/>
              </w:rPr>
              <w:t xml:space="preserve"> </w:t>
            </w:r>
            <w:r w:rsidR="009040ED" w:rsidRPr="007E3C11">
              <w:rPr>
                <w:color w:val="000000"/>
                <w:sz w:val="18"/>
                <w:szCs w:val="18"/>
              </w:rPr>
              <w:t>any source</w:t>
            </w:r>
            <w:r w:rsidR="008F33DD" w:rsidRPr="007E3C11">
              <w:rPr>
                <w:color w:val="000000"/>
                <w:sz w:val="18"/>
                <w:szCs w:val="18"/>
              </w:rPr>
              <w:t xml:space="preserve"> that have </w:t>
            </w:r>
            <w:r w:rsidR="007E3C11" w:rsidRPr="007E3C11">
              <w:rPr>
                <w:b/>
                <w:bCs/>
                <w:color w:val="000000"/>
                <w:sz w:val="18"/>
                <w:szCs w:val="18"/>
              </w:rPr>
              <w:t>not</w:t>
            </w:r>
            <w:r w:rsidR="008F33DD" w:rsidRPr="007E3C11">
              <w:rPr>
                <w:color w:val="000000"/>
                <w:sz w:val="18"/>
                <w:szCs w:val="18"/>
              </w:rPr>
              <w:t xml:space="preserve"> been exposed to any microbial agent, </w:t>
            </w:r>
            <w:r w:rsidR="008F33DD" w:rsidRPr="00053FB7">
              <w:rPr>
                <w:b/>
                <w:color w:val="000000"/>
                <w:sz w:val="18"/>
                <w:szCs w:val="18"/>
              </w:rPr>
              <w:t>but</w:t>
            </w:r>
            <w:r w:rsidR="008F33DD" w:rsidRPr="007E3C11">
              <w:rPr>
                <w:color w:val="000000"/>
                <w:sz w:val="18"/>
                <w:szCs w:val="18"/>
              </w:rPr>
              <w:t xml:space="preserve"> </w:t>
            </w:r>
            <w:r w:rsidR="007E3C11" w:rsidRPr="007E3C11">
              <w:rPr>
                <w:b/>
                <w:color w:val="000000"/>
                <w:sz w:val="18"/>
                <w:szCs w:val="18"/>
              </w:rPr>
              <w:t>may</w:t>
            </w:r>
            <w:r w:rsidR="007E3C11" w:rsidRPr="007E3C11">
              <w:rPr>
                <w:color w:val="000000"/>
                <w:sz w:val="18"/>
                <w:szCs w:val="18"/>
              </w:rPr>
              <w:t xml:space="preserve"> </w:t>
            </w:r>
            <w:r w:rsidR="008F33DD" w:rsidRPr="007E3C11">
              <w:rPr>
                <w:b/>
                <w:bCs/>
                <w:color w:val="000000"/>
                <w:sz w:val="18"/>
                <w:szCs w:val="18"/>
              </w:rPr>
              <w:t>have been</w:t>
            </w:r>
            <w:r w:rsidR="008F33DD" w:rsidRPr="007E3C11">
              <w:rPr>
                <w:color w:val="000000"/>
                <w:sz w:val="18"/>
                <w:szCs w:val="18"/>
              </w:rPr>
              <w:t xml:space="preserve"> genetically modified using non-viral methods</w:t>
            </w:r>
            <w:r w:rsidR="007E3C11" w:rsidRPr="007E3C11">
              <w:rPr>
                <w:color w:val="000000"/>
                <w:sz w:val="18"/>
                <w:szCs w:val="18"/>
              </w:rPr>
              <w:t xml:space="preserve">. </w:t>
            </w:r>
            <w:r w:rsidR="00A75773" w:rsidRPr="007E3C1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3070" w14:textId="77777777" w:rsidR="008F33DD" w:rsidRPr="00F030ED" w:rsidRDefault="001643A8" w:rsidP="005E3A7F">
            <w:pPr>
              <w:rPr>
                <w:color w:val="000000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shd w:val="clear" w:color="auto" w:fill="FCFDFD"/>
              </w:rPr>
              <w:t xml:space="preserve">(CDC) </w:t>
            </w:r>
            <w:r w:rsidR="007E3C11">
              <w:rPr>
                <w:color w:val="222222"/>
                <w:sz w:val="18"/>
                <w:szCs w:val="18"/>
                <w:shd w:val="clear" w:color="auto" w:fill="FCFDFD"/>
              </w:rPr>
              <w:t>These</w:t>
            </w:r>
            <w:r w:rsidR="007E3C11" w:rsidRPr="007E3C11">
              <w:rPr>
                <w:color w:val="222222"/>
                <w:sz w:val="18"/>
                <w:szCs w:val="18"/>
                <w:shd w:val="clear" w:color="auto" w:fill="FCFDFD"/>
              </w:rPr>
              <w:t xml:space="preserve"> microbes pose </w:t>
            </w:r>
            <w:r w:rsidR="0016000A" w:rsidRPr="0016000A">
              <w:rPr>
                <w:b/>
                <w:color w:val="222222"/>
                <w:sz w:val="18"/>
                <w:szCs w:val="18"/>
                <w:shd w:val="clear" w:color="auto" w:fill="FCFDFD"/>
              </w:rPr>
              <w:t>MODERATE</w:t>
            </w:r>
            <w:r w:rsidR="007E3C11" w:rsidRPr="007E3C11">
              <w:rPr>
                <w:color w:val="222222"/>
                <w:sz w:val="18"/>
                <w:szCs w:val="18"/>
                <w:shd w:val="clear" w:color="auto" w:fill="FCFDFD"/>
              </w:rPr>
              <w:t xml:space="preserve"> hazards to </w:t>
            </w:r>
            <w:r w:rsidR="0016000A">
              <w:rPr>
                <w:color w:val="222222"/>
                <w:sz w:val="18"/>
                <w:szCs w:val="18"/>
                <w:shd w:val="clear" w:color="auto" w:fill="FCFDFD"/>
              </w:rPr>
              <w:t>healthy humans</w:t>
            </w:r>
            <w:r w:rsidR="007E3C11" w:rsidRPr="007E3C11">
              <w:rPr>
                <w:color w:val="222222"/>
                <w:sz w:val="18"/>
                <w:szCs w:val="18"/>
                <w:shd w:val="clear" w:color="auto" w:fill="FCFDFD"/>
              </w:rPr>
              <w:t xml:space="preserve"> and the environment. The microbes are typically </w:t>
            </w:r>
            <w:r w:rsidR="007E3C11" w:rsidRPr="0016000A">
              <w:rPr>
                <w:sz w:val="18"/>
                <w:szCs w:val="18"/>
                <w:shd w:val="clear" w:color="auto" w:fill="FCFDFD"/>
              </w:rPr>
              <w:t>indigenous</w:t>
            </w:r>
            <w:r w:rsidR="007E3C11" w:rsidRPr="007E3C11">
              <w:rPr>
                <w:color w:val="222222"/>
                <w:sz w:val="18"/>
                <w:szCs w:val="18"/>
                <w:shd w:val="clear" w:color="auto" w:fill="FCFDFD"/>
              </w:rPr>
              <w:t> and associated with diseases of varying severity.</w:t>
            </w:r>
            <w:r w:rsidR="007E3C11">
              <w:rPr>
                <w:rFonts w:ascii="Helvetica" w:hAnsi="Helvetica"/>
                <w:color w:val="222222"/>
                <w:sz w:val="21"/>
                <w:szCs w:val="21"/>
                <w:shd w:val="clear" w:color="auto" w:fill="FCFDFD"/>
              </w:rPr>
              <w:t> </w:t>
            </w:r>
            <w:r w:rsidR="007E3C11" w:rsidRPr="00F030E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(NIH) </w:t>
            </w:r>
            <w:r w:rsidR="0016000A">
              <w:rPr>
                <w:color w:val="000000"/>
                <w:sz w:val="18"/>
                <w:szCs w:val="18"/>
              </w:rPr>
              <w:t>This category ALSO includes any cells</w:t>
            </w:r>
            <w:r w:rsidR="0016000A" w:rsidRPr="00F030ED">
              <w:rPr>
                <w:color w:val="000000"/>
                <w:sz w:val="18"/>
                <w:szCs w:val="18"/>
              </w:rPr>
              <w:t xml:space="preserve"> that have been genetically modified using viral methods </w:t>
            </w:r>
            <w:r w:rsidR="0016000A" w:rsidRPr="00F030ED">
              <w:rPr>
                <w:b/>
                <w:bCs/>
                <w:color w:val="000000"/>
                <w:sz w:val="18"/>
                <w:szCs w:val="18"/>
              </w:rPr>
              <w:t>OR</w:t>
            </w:r>
            <w:r w:rsidR="0016000A" w:rsidRPr="00F030ED">
              <w:rPr>
                <w:color w:val="000000"/>
                <w:sz w:val="18"/>
                <w:szCs w:val="18"/>
              </w:rPr>
              <w:t xml:space="preserve"> Cells exposed to microbial agents</w:t>
            </w:r>
            <w:r w:rsidR="0016000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1B85" w14:textId="77777777" w:rsidR="008F33DD" w:rsidRPr="00F030ED" w:rsidRDefault="001643A8" w:rsidP="005E3A7F">
            <w:pPr>
              <w:rPr>
                <w:color w:val="000000"/>
                <w:sz w:val="18"/>
                <w:szCs w:val="18"/>
              </w:rPr>
            </w:pPr>
            <w:r>
              <w:rPr>
                <w:color w:val="222222"/>
                <w:sz w:val="18"/>
                <w:szCs w:val="21"/>
                <w:shd w:val="clear" w:color="auto" w:fill="FCFDFD"/>
              </w:rPr>
              <w:t xml:space="preserve">(CDC) </w:t>
            </w:r>
            <w:r w:rsidR="00B13003">
              <w:rPr>
                <w:color w:val="222222"/>
                <w:sz w:val="18"/>
                <w:szCs w:val="21"/>
                <w:shd w:val="clear" w:color="auto" w:fill="FCFDFD"/>
              </w:rPr>
              <w:t>T</w:t>
            </w:r>
            <w:r w:rsidR="00B13003" w:rsidRPr="00B13003">
              <w:rPr>
                <w:color w:val="222222"/>
                <w:sz w:val="18"/>
                <w:szCs w:val="21"/>
                <w:shd w:val="clear" w:color="auto" w:fill="FCFDFD"/>
              </w:rPr>
              <w:t>he</w:t>
            </w:r>
            <w:r w:rsidR="00B13003">
              <w:rPr>
                <w:color w:val="222222"/>
                <w:sz w:val="18"/>
                <w:szCs w:val="21"/>
                <w:shd w:val="clear" w:color="auto" w:fill="FCFDFD"/>
              </w:rPr>
              <w:t>se</w:t>
            </w:r>
            <w:r w:rsidR="00B13003" w:rsidRPr="00B13003">
              <w:rPr>
                <w:color w:val="222222"/>
                <w:sz w:val="18"/>
                <w:szCs w:val="21"/>
                <w:shd w:val="clear" w:color="auto" w:fill="FCFDFD"/>
              </w:rPr>
              <w:t xml:space="preserve"> microbes </w:t>
            </w:r>
            <w:r w:rsidR="0024145D">
              <w:rPr>
                <w:color w:val="222222"/>
                <w:sz w:val="18"/>
                <w:szCs w:val="21"/>
                <w:shd w:val="clear" w:color="auto" w:fill="FCFDFD"/>
              </w:rPr>
              <w:t xml:space="preserve">pose </w:t>
            </w:r>
            <w:r w:rsidR="00053FB7" w:rsidRPr="00053FB7">
              <w:rPr>
                <w:b/>
                <w:color w:val="222222"/>
                <w:sz w:val="18"/>
                <w:szCs w:val="21"/>
                <w:shd w:val="clear" w:color="auto" w:fill="FCFDFD"/>
              </w:rPr>
              <w:t>SERIOUS</w:t>
            </w:r>
            <w:r w:rsidR="00B13003" w:rsidRPr="00B13003">
              <w:rPr>
                <w:color w:val="222222"/>
                <w:sz w:val="18"/>
                <w:szCs w:val="21"/>
                <w:shd w:val="clear" w:color="auto" w:fill="FCFDFD"/>
              </w:rPr>
              <w:t xml:space="preserve"> </w:t>
            </w:r>
            <w:r w:rsidR="00053FB7">
              <w:rPr>
                <w:color w:val="222222"/>
                <w:sz w:val="18"/>
                <w:szCs w:val="21"/>
                <w:shd w:val="clear" w:color="auto" w:fill="FCFDFD"/>
              </w:rPr>
              <w:t xml:space="preserve">hazards </w:t>
            </w:r>
            <w:r w:rsidR="00B13003" w:rsidRPr="00B13003">
              <w:rPr>
                <w:color w:val="222222"/>
                <w:sz w:val="18"/>
                <w:szCs w:val="21"/>
                <w:shd w:val="clear" w:color="auto" w:fill="FCFDFD"/>
              </w:rPr>
              <w:t>or potentially lethal disease through respiratory transmission.</w:t>
            </w:r>
            <w:r w:rsidR="00B13003">
              <w:rPr>
                <w:color w:val="222222"/>
                <w:sz w:val="18"/>
                <w:szCs w:val="21"/>
                <w:shd w:val="clear" w:color="auto" w:fill="FCFDFD"/>
              </w:rPr>
              <w:t xml:space="preserve"> The microbes are </w:t>
            </w:r>
            <w:r w:rsidR="00B13003" w:rsidRPr="00B13003">
              <w:rPr>
                <w:color w:val="222222"/>
                <w:sz w:val="18"/>
                <w:szCs w:val="21"/>
                <w:shd w:val="clear" w:color="auto" w:fill="FCFDFD"/>
              </w:rPr>
              <w:t>either indigenous or exotic</w:t>
            </w:r>
            <w:r w:rsidR="00B13003">
              <w:rPr>
                <w:color w:val="222222"/>
                <w:sz w:val="18"/>
                <w:szCs w:val="21"/>
                <w:shd w:val="clear" w:color="auto" w:fill="FCFDFD"/>
              </w:rPr>
              <w:t xml:space="preserve">. </w:t>
            </w:r>
            <w:r>
              <w:rPr>
                <w:color w:val="222222"/>
                <w:sz w:val="18"/>
                <w:szCs w:val="21"/>
                <w:shd w:val="clear" w:color="auto" w:fill="FCFDFD"/>
              </w:rPr>
              <w:t xml:space="preserve">(NIH) </w:t>
            </w:r>
            <w:r w:rsidR="00B13003">
              <w:rPr>
                <w:color w:val="222222"/>
                <w:sz w:val="18"/>
                <w:szCs w:val="21"/>
                <w:shd w:val="clear" w:color="auto" w:fill="FCFDFD"/>
              </w:rPr>
              <w:t>This category ALSO includes c</w:t>
            </w:r>
            <w:r w:rsidR="008F33DD" w:rsidRPr="00F030ED">
              <w:rPr>
                <w:color w:val="000000"/>
                <w:sz w:val="18"/>
                <w:szCs w:val="18"/>
              </w:rPr>
              <w:t xml:space="preserve">ells </w:t>
            </w:r>
            <w:r w:rsidR="00AF0011">
              <w:rPr>
                <w:color w:val="000000"/>
                <w:sz w:val="18"/>
                <w:szCs w:val="18"/>
              </w:rPr>
              <w:t xml:space="preserve">from any source </w:t>
            </w:r>
            <w:r w:rsidR="008F33DD" w:rsidRPr="00F030ED">
              <w:rPr>
                <w:color w:val="000000"/>
                <w:sz w:val="18"/>
                <w:szCs w:val="18"/>
              </w:rPr>
              <w:t xml:space="preserve">exposed to microbial agents with moderate </w:t>
            </w:r>
            <w:r w:rsidR="005B136D">
              <w:rPr>
                <w:color w:val="000000"/>
                <w:sz w:val="18"/>
                <w:szCs w:val="18"/>
              </w:rPr>
              <w:t xml:space="preserve">(or higher) </w:t>
            </w:r>
            <w:r w:rsidR="008F33DD" w:rsidRPr="00F030ED">
              <w:rPr>
                <w:color w:val="000000"/>
                <w:sz w:val="18"/>
                <w:szCs w:val="18"/>
              </w:rPr>
              <w:t xml:space="preserve">increased </w:t>
            </w:r>
            <w:r w:rsidR="00AF0011">
              <w:rPr>
                <w:color w:val="000000"/>
                <w:sz w:val="18"/>
                <w:szCs w:val="18"/>
              </w:rPr>
              <w:t>health</w:t>
            </w:r>
            <w:r w:rsidR="00AF0011" w:rsidRPr="00F030ED">
              <w:rPr>
                <w:color w:val="000000"/>
                <w:sz w:val="18"/>
                <w:szCs w:val="18"/>
              </w:rPr>
              <w:t xml:space="preserve"> </w:t>
            </w:r>
            <w:r w:rsidR="008F33DD" w:rsidRPr="00F030ED">
              <w:rPr>
                <w:color w:val="000000"/>
                <w:sz w:val="18"/>
                <w:szCs w:val="18"/>
              </w:rPr>
              <w:t xml:space="preserve">hazard </w:t>
            </w:r>
            <w:r w:rsidR="008F33DD" w:rsidRPr="00F030ED">
              <w:rPr>
                <w:b/>
                <w:bCs/>
                <w:color w:val="000000"/>
                <w:sz w:val="18"/>
                <w:szCs w:val="18"/>
              </w:rPr>
              <w:t>OR</w:t>
            </w:r>
            <w:r w:rsidR="008F33DD" w:rsidRPr="00F030ED">
              <w:rPr>
                <w:color w:val="000000"/>
                <w:sz w:val="18"/>
                <w:szCs w:val="18"/>
              </w:rPr>
              <w:t xml:space="preserve"> </w:t>
            </w:r>
            <w:r w:rsidR="00702778">
              <w:rPr>
                <w:color w:val="000000"/>
                <w:sz w:val="18"/>
                <w:szCs w:val="18"/>
              </w:rPr>
              <w:t>c</w:t>
            </w:r>
            <w:r w:rsidR="008F33DD" w:rsidRPr="00F030ED">
              <w:rPr>
                <w:color w:val="000000"/>
                <w:sz w:val="18"/>
                <w:szCs w:val="18"/>
              </w:rPr>
              <w:t xml:space="preserve">ells that have been genetically modified using viral methods with inserts </w:t>
            </w:r>
            <w:r w:rsidR="001C35A3" w:rsidRPr="00F030ED">
              <w:rPr>
                <w:color w:val="000000"/>
                <w:sz w:val="18"/>
                <w:szCs w:val="18"/>
              </w:rPr>
              <w:t xml:space="preserve">known </w:t>
            </w:r>
            <w:r w:rsidR="001C35A3">
              <w:rPr>
                <w:color w:val="000000"/>
                <w:sz w:val="18"/>
                <w:szCs w:val="18"/>
              </w:rPr>
              <w:t>to</w:t>
            </w:r>
            <w:r w:rsidR="00AF0011">
              <w:rPr>
                <w:color w:val="000000"/>
                <w:sz w:val="18"/>
                <w:szCs w:val="18"/>
              </w:rPr>
              <w:t xml:space="preserve"> transfer a human health hazard</w:t>
            </w:r>
            <w:r w:rsidR="0024145D">
              <w:rPr>
                <w:color w:val="000000"/>
                <w:sz w:val="18"/>
                <w:szCs w:val="18"/>
              </w:rPr>
              <w:t>.</w:t>
            </w:r>
            <w:r w:rsidR="00AF001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E3C11" w:rsidRPr="0012100C" w14:paraId="2D346A41" w14:textId="77777777" w:rsidTr="0024145D">
        <w:trPr>
          <w:trHeight w:val="208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66BF" w14:textId="77777777" w:rsidR="007E3C11" w:rsidRDefault="007E3C11" w:rsidP="00B105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Examples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A892" w14:textId="77777777" w:rsidR="007E3C11" w:rsidRPr="00116F1C" w:rsidRDefault="007E3C11" w:rsidP="005E3A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</w:t>
            </w:r>
            <w:r w:rsidRPr="00F030ED">
              <w:rPr>
                <w:color w:val="000000"/>
                <w:sz w:val="18"/>
                <w:szCs w:val="18"/>
              </w:rPr>
              <w:t>ild-type cells from</w:t>
            </w:r>
            <w:r>
              <w:rPr>
                <w:color w:val="000000"/>
                <w:sz w:val="18"/>
                <w:szCs w:val="18"/>
              </w:rPr>
              <w:t xml:space="preserve"> any </w:t>
            </w:r>
            <w:r w:rsidR="00053FB7">
              <w:rPr>
                <w:color w:val="000000"/>
                <w:sz w:val="18"/>
                <w:szCs w:val="18"/>
              </w:rPr>
              <w:t>source,</w:t>
            </w:r>
            <w:r w:rsidR="00053FB7" w:rsidRPr="00F030ED">
              <w:rPr>
                <w:color w:val="000000"/>
                <w:sz w:val="18"/>
                <w:szCs w:val="18"/>
              </w:rPr>
              <w:t xml:space="preserve"> </w:t>
            </w:r>
            <w:r w:rsidR="00053FB7">
              <w:rPr>
                <w:color w:val="000000"/>
                <w:sz w:val="18"/>
                <w:szCs w:val="18"/>
              </w:rPr>
              <w:t>which</w:t>
            </w:r>
            <w:r w:rsidR="00053FB7" w:rsidRPr="00F030ED">
              <w:rPr>
                <w:color w:val="000000"/>
                <w:sz w:val="18"/>
                <w:szCs w:val="18"/>
              </w:rPr>
              <w:t xml:space="preserve"> ha</w:t>
            </w:r>
            <w:r w:rsidR="005E3A7F">
              <w:rPr>
                <w:color w:val="000000"/>
                <w:sz w:val="18"/>
                <w:szCs w:val="18"/>
              </w:rPr>
              <w:t>ve</w:t>
            </w:r>
            <w:r w:rsidRPr="00F030E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not</w:t>
            </w:r>
            <w:r w:rsidRPr="00F030E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030ED">
              <w:rPr>
                <w:color w:val="000000"/>
                <w:sz w:val="18"/>
                <w:szCs w:val="18"/>
              </w:rPr>
              <w:t>been exposed to any microbial agent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7E3C11">
              <w:rPr>
                <w:b/>
                <w:color w:val="000000"/>
                <w:sz w:val="18"/>
                <w:szCs w:val="18"/>
              </w:rPr>
              <w:t>OR</w:t>
            </w:r>
            <w:r w:rsidRPr="00F030ED">
              <w:rPr>
                <w:color w:val="000000"/>
                <w:sz w:val="18"/>
                <w:szCs w:val="18"/>
              </w:rPr>
              <w:t xml:space="preserve"> </w:t>
            </w:r>
            <w:r w:rsidRPr="007E3C11">
              <w:rPr>
                <w:bCs/>
                <w:color w:val="000000"/>
                <w:sz w:val="18"/>
                <w:szCs w:val="18"/>
              </w:rPr>
              <w:t xml:space="preserve">have </w:t>
            </w:r>
            <w:r w:rsidRPr="007E3C11">
              <w:rPr>
                <w:b/>
                <w:bCs/>
                <w:color w:val="000000"/>
                <w:sz w:val="18"/>
                <w:szCs w:val="18"/>
              </w:rPr>
              <w:t>not</w:t>
            </w:r>
            <w:r w:rsidRPr="007E3C11">
              <w:rPr>
                <w:bCs/>
                <w:color w:val="000000"/>
                <w:sz w:val="18"/>
                <w:szCs w:val="18"/>
              </w:rPr>
              <w:t xml:space="preserve"> been</w:t>
            </w:r>
            <w:r w:rsidRPr="00F030ED">
              <w:rPr>
                <w:color w:val="000000"/>
                <w:sz w:val="18"/>
                <w:szCs w:val="18"/>
              </w:rPr>
              <w:t xml:space="preserve"> genetically modified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030ED">
              <w:rPr>
                <w:color w:val="000000"/>
                <w:sz w:val="18"/>
                <w:szCs w:val="18"/>
              </w:rPr>
              <w:t xml:space="preserve"> </w:t>
            </w:r>
            <w:r w:rsidRPr="00F030ED">
              <w:rPr>
                <w:b/>
                <w:bCs/>
                <w:color w:val="000000"/>
                <w:sz w:val="18"/>
                <w:szCs w:val="18"/>
              </w:rPr>
              <w:t>OR</w:t>
            </w:r>
            <w:r w:rsidRPr="00F030ED">
              <w:rPr>
                <w:color w:val="000000"/>
                <w:sz w:val="18"/>
                <w:szCs w:val="18"/>
              </w:rPr>
              <w:t xml:space="preserve"> cell</w:t>
            </w:r>
            <w:r w:rsidR="0016000A">
              <w:rPr>
                <w:color w:val="000000"/>
                <w:sz w:val="18"/>
                <w:szCs w:val="18"/>
              </w:rPr>
              <w:t xml:space="preserve"> li</w:t>
            </w:r>
            <w:r>
              <w:rPr>
                <w:color w:val="000000"/>
                <w:sz w:val="18"/>
                <w:szCs w:val="18"/>
              </w:rPr>
              <w:t>n</w:t>
            </w:r>
            <w:r w:rsidR="0016000A">
              <w:rPr>
                <w:color w:val="000000"/>
                <w:sz w:val="18"/>
                <w:szCs w:val="18"/>
              </w:rPr>
              <w:t>e</w:t>
            </w:r>
            <w:r w:rsidRPr="00F030ED">
              <w:rPr>
                <w:color w:val="000000"/>
                <w:sz w:val="18"/>
                <w:szCs w:val="18"/>
              </w:rPr>
              <w:t xml:space="preserve">s determined by the </w:t>
            </w:r>
            <w:r>
              <w:rPr>
                <w:color w:val="000000"/>
                <w:sz w:val="18"/>
                <w:szCs w:val="18"/>
              </w:rPr>
              <w:t>Bigelow-</w:t>
            </w:r>
            <w:r w:rsidRPr="00F030ED">
              <w:rPr>
                <w:color w:val="000000"/>
                <w:sz w:val="18"/>
                <w:szCs w:val="18"/>
              </w:rPr>
              <w:t xml:space="preserve">IBC to be </w:t>
            </w:r>
            <w:r>
              <w:rPr>
                <w:color w:val="000000"/>
                <w:sz w:val="18"/>
                <w:szCs w:val="18"/>
              </w:rPr>
              <w:t>approved as</w:t>
            </w:r>
            <w:r w:rsidRPr="00F030ED">
              <w:rPr>
                <w:color w:val="000000"/>
                <w:sz w:val="18"/>
                <w:szCs w:val="18"/>
              </w:rPr>
              <w:t xml:space="preserve"> exempt.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B432" w14:textId="77777777" w:rsidR="007E3C11" w:rsidRDefault="00053FB7" w:rsidP="00053FB7">
            <w:pPr>
              <w:rPr>
                <w:color w:val="222222"/>
                <w:sz w:val="18"/>
                <w:szCs w:val="18"/>
                <w:shd w:val="clear" w:color="auto" w:fill="FCFDFD"/>
              </w:rPr>
            </w:pPr>
            <w:r>
              <w:rPr>
                <w:color w:val="222222"/>
                <w:sz w:val="18"/>
                <w:szCs w:val="18"/>
                <w:shd w:val="clear" w:color="auto" w:fill="FCFDFD"/>
              </w:rPr>
              <w:t>For example, c</w:t>
            </w:r>
            <w:r w:rsidR="0016000A">
              <w:rPr>
                <w:color w:val="222222"/>
                <w:sz w:val="18"/>
                <w:szCs w:val="18"/>
                <w:shd w:val="clear" w:color="auto" w:fill="FCFDFD"/>
              </w:rPr>
              <w:t xml:space="preserve">ells of a </w:t>
            </w:r>
            <w:r w:rsidR="007E3C11" w:rsidRPr="007E3C11">
              <w:rPr>
                <w:sz w:val="18"/>
                <w:szCs w:val="18"/>
                <w:shd w:val="clear" w:color="auto" w:fill="FCFDFD"/>
              </w:rPr>
              <w:t>nonpathogenic</w:t>
            </w:r>
            <w:r w:rsidR="007E3C11" w:rsidRPr="005D37A8">
              <w:rPr>
                <w:color w:val="222222"/>
                <w:sz w:val="18"/>
                <w:szCs w:val="18"/>
                <w:shd w:val="clear" w:color="auto" w:fill="FCFDFD"/>
              </w:rPr>
              <w:t> strain of </w:t>
            </w:r>
            <w:r w:rsidR="007E3C11" w:rsidRPr="005D37A8">
              <w:rPr>
                <w:rStyle w:val="Emphasis"/>
                <w:color w:val="222222"/>
                <w:sz w:val="18"/>
                <w:szCs w:val="18"/>
                <w:shd w:val="clear" w:color="auto" w:fill="FCFDFD"/>
              </w:rPr>
              <w:t>E. coli</w:t>
            </w:r>
            <w:r>
              <w:rPr>
                <w:rStyle w:val="Emphasis"/>
                <w:color w:val="222222"/>
                <w:sz w:val="18"/>
                <w:szCs w:val="18"/>
                <w:shd w:val="clear" w:color="auto" w:fill="FCFDFD"/>
              </w:rPr>
              <w:t>,</w:t>
            </w:r>
            <w:r w:rsidR="007E3C11" w:rsidRPr="007E3C11">
              <w:rPr>
                <w:b/>
                <w:bCs/>
                <w:color w:val="000000"/>
                <w:sz w:val="18"/>
                <w:szCs w:val="18"/>
              </w:rPr>
              <w:t xml:space="preserve"> OR</w:t>
            </w:r>
            <w:r w:rsidR="007E3C11" w:rsidRPr="007E3C11">
              <w:rPr>
                <w:color w:val="000000"/>
                <w:sz w:val="18"/>
                <w:szCs w:val="18"/>
              </w:rPr>
              <w:t xml:space="preserve"> cells determined by the IBC to be approved as non-exempt BSL-1</w:t>
            </w:r>
            <w:r w:rsidR="007E3C11" w:rsidRPr="007E3C11">
              <w:rPr>
                <w:color w:val="222222"/>
                <w:sz w:val="18"/>
                <w:szCs w:val="18"/>
                <w:shd w:val="clear" w:color="auto" w:fill="FCFDFD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9CC3" w14:textId="77777777" w:rsidR="007E3C11" w:rsidRPr="00F030ED" w:rsidRDefault="00053FB7" w:rsidP="00053FB7">
            <w:pPr>
              <w:rPr>
                <w:color w:val="000000"/>
                <w:sz w:val="18"/>
                <w:szCs w:val="18"/>
              </w:rPr>
            </w:pPr>
            <w:r>
              <w:rPr>
                <w:color w:val="222222"/>
                <w:sz w:val="18"/>
                <w:szCs w:val="21"/>
                <w:shd w:val="clear" w:color="auto" w:fill="FCFDFD"/>
              </w:rPr>
              <w:t>For example, c</w:t>
            </w:r>
            <w:r w:rsidR="00EE2EF8">
              <w:rPr>
                <w:color w:val="222222"/>
                <w:sz w:val="18"/>
                <w:szCs w:val="21"/>
                <w:shd w:val="clear" w:color="auto" w:fill="FCFDFD"/>
              </w:rPr>
              <w:t>ell lines of</w:t>
            </w:r>
            <w:r w:rsidR="0016000A" w:rsidRPr="0016000A">
              <w:rPr>
                <w:color w:val="222222"/>
                <w:sz w:val="18"/>
                <w:szCs w:val="21"/>
                <w:shd w:val="clear" w:color="auto" w:fill="FCFDFD"/>
              </w:rPr>
              <w:t> </w:t>
            </w:r>
            <w:r w:rsidR="0016000A" w:rsidRPr="0016000A">
              <w:rPr>
                <w:rStyle w:val="Emphasis"/>
                <w:color w:val="222222"/>
                <w:sz w:val="18"/>
                <w:szCs w:val="21"/>
                <w:shd w:val="clear" w:color="auto" w:fill="FCFDFD"/>
              </w:rPr>
              <w:t>Staphylococcus aureus</w:t>
            </w:r>
            <w:r w:rsidR="0016000A">
              <w:rPr>
                <w:color w:val="222222"/>
                <w:sz w:val="18"/>
                <w:szCs w:val="21"/>
                <w:shd w:val="clear" w:color="auto" w:fill="FCFDFD"/>
              </w:rPr>
              <w:t xml:space="preserve"> </w:t>
            </w:r>
            <w:r w:rsidR="0016000A">
              <w:rPr>
                <w:b/>
                <w:color w:val="222222"/>
                <w:sz w:val="18"/>
                <w:szCs w:val="21"/>
                <w:shd w:val="clear" w:color="auto" w:fill="FCFDFD"/>
              </w:rPr>
              <w:t xml:space="preserve">OR </w:t>
            </w:r>
            <w:r w:rsidR="0016000A">
              <w:rPr>
                <w:color w:val="222222"/>
                <w:sz w:val="18"/>
                <w:szCs w:val="21"/>
                <w:shd w:val="clear" w:color="auto" w:fill="FCFDFD"/>
              </w:rPr>
              <w:t xml:space="preserve">cells determined by the IBC </w:t>
            </w:r>
            <w:r w:rsidR="00EE2EF8">
              <w:rPr>
                <w:color w:val="000000"/>
                <w:sz w:val="18"/>
                <w:szCs w:val="18"/>
              </w:rPr>
              <w:t>to be approved as</w:t>
            </w:r>
            <w:r w:rsidR="0016000A" w:rsidRPr="00F030ED">
              <w:rPr>
                <w:color w:val="000000"/>
                <w:sz w:val="18"/>
                <w:szCs w:val="18"/>
              </w:rPr>
              <w:t xml:space="preserve"> BSL-2 </w:t>
            </w:r>
            <w:r w:rsidR="00EE2EF8">
              <w:rPr>
                <w:color w:val="000000"/>
                <w:sz w:val="18"/>
                <w:szCs w:val="18"/>
              </w:rPr>
              <w:t>based upon statements in the a</w:t>
            </w:r>
            <w:r w:rsidR="0016000A">
              <w:rPr>
                <w:color w:val="000000"/>
                <w:sz w:val="18"/>
                <w:szCs w:val="18"/>
              </w:rPr>
              <w:t>pplication</w:t>
            </w:r>
            <w:r w:rsidR="0016000A" w:rsidRPr="00F030E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99F6" w14:textId="77777777" w:rsidR="007E3C11" w:rsidRPr="00B13003" w:rsidRDefault="0024145D" w:rsidP="00960F0F">
            <w:pPr>
              <w:rPr>
                <w:color w:val="000000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shd w:val="clear" w:color="auto" w:fill="FCFDFD"/>
              </w:rPr>
              <w:t xml:space="preserve">For example, cell lines of </w:t>
            </w:r>
            <w:r w:rsidR="00B13003" w:rsidRPr="00B13003">
              <w:rPr>
                <w:rStyle w:val="Emphasis"/>
                <w:color w:val="222222"/>
                <w:sz w:val="18"/>
                <w:szCs w:val="18"/>
                <w:shd w:val="clear" w:color="auto" w:fill="FCFDFD"/>
              </w:rPr>
              <w:t>Mycobacterium tuberculosis</w:t>
            </w:r>
            <w:r w:rsidR="00B13003" w:rsidRPr="00B13003">
              <w:rPr>
                <w:color w:val="222222"/>
                <w:sz w:val="18"/>
                <w:szCs w:val="18"/>
                <w:shd w:val="clear" w:color="auto" w:fill="FCFDFD"/>
              </w:rPr>
              <w:t>, the bacteria that causes tuberculosis.</w:t>
            </w:r>
            <w:r w:rsidR="00B13003" w:rsidRPr="00F030E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222222"/>
                <w:sz w:val="18"/>
                <w:szCs w:val="21"/>
                <w:shd w:val="clear" w:color="auto" w:fill="FCFDFD"/>
              </w:rPr>
              <w:t xml:space="preserve">OR </w:t>
            </w:r>
            <w:r>
              <w:rPr>
                <w:color w:val="222222"/>
                <w:sz w:val="18"/>
                <w:szCs w:val="21"/>
                <w:shd w:val="clear" w:color="auto" w:fill="FCFDFD"/>
              </w:rPr>
              <w:t xml:space="preserve">cells determined by the IBC </w:t>
            </w:r>
            <w:r>
              <w:rPr>
                <w:color w:val="000000"/>
                <w:sz w:val="18"/>
                <w:szCs w:val="18"/>
              </w:rPr>
              <w:t>to be approved as</w:t>
            </w:r>
            <w:r w:rsidRPr="00F030ED">
              <w:rPr>
                <w:color w:val="000000"/>
                <w:sz w:val="18"/>
                <w:szCs w:val="18"/>
              </w:rPr>
              <w:t xml:space="preserve"> BSL-</w:t>
            </w:r>
            <w:r w:rsidR="00960F0F">
              <w:rPr>
                <w:color w:val="000000"/>
                <w:sz w:val="18"/>
                <w:szCs w:val="18"/>
              </w:rPr>
              <w:t>3</w:t>
            </w:r>
            <w:r w:rsidRPr="00F030E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based upon statements in the application</w:t>
            </w:r>
            <w:r w:rsidRPr="00F030ED">
              <w:rPr>
                <w:color w:val="000000"/>
                <w:sz w:val="18"/>
                <w:szCs w:val="18"/>
              </w:rPr>
              <w:t>.</w:t>
            </w:r>
          </w:p>
        </w:tc>
      </w:tr>
      <w:tr w:rsidR="005D37A8" w:rsidRPr="0012100C" w14:paraId="1553470A" w14:textId="77777777" w:rsidTr="0017023B">
        <w:trPr>
          <w:trHeight w:val="134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0B11" w14:textId="77777777" w:rsidR="005D37A8" w:rsidRPr="00F030ED" w:rsidRDefault="00A75773" w:rsidP="00B105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24145D">
              <w:rPr>
                <w:color w:val="000000"/>
                <w:sz w:val="18"/>
                <w:szCs w:val="18"/>
              </w:rPr>
              <w:t xml:space="preserve">ersonal </w:t>
            </w:r>
            <w:r>
              <w:rPr>
                <w:color w:val="000000"/>
                <w:sz w:val="18"/>
                <w:szCs w:val="18"/>
              </w:rPr>
              <w:t>P</w:t>
            </w:r>
            <w:r w:rsidR="0024145D">
              <w:rPr>
                <w:color w:val="000000"/>
                <w:sz w:val="18"/>
                <w:szCs w:val="18"/>
              </w:rPr>
              <w:t xml:space="preserve">rotective </w:t>
            </w:r>
            <w:r>
              <w:rPr>
                <w:color w:val="000000"/>
                <w:sz w:val="18"/>
                <w:szCs w:val="18"/>
              </w:rPr>
              <w:t>G</w:t>
            </w:r>
            <w:r w:rsidR="0024145D">
              <w:rPr>
                <w:color w:val="000000"/>
                <w:sz w:val="18"/>
                <w:szCs w:val="18"/>
              </w:rPr>
              <w:t>ear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61A5" w14:textId="77777777" w:rsidR="005D37A8" w:rsidRPr="007E3C11" w:rsidRDefault="007E3C11" w:rsidP="0024145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shd w:val="clear" w:color="auto" w:fill="FCFDFD"/>
              </w:rPr>
              <w:t>Work can be done on an open bench, PPG is lab coat, eyeglasses and gloves as needed.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C1F3" w14:textId="77777777" w:rsidR="005D37A8" w:rsidRPr="005D37A8" w:rsidRDefault="00A75773" w:rsidP="0024145D">
            <w:pPr>
              <w:rPr>
                <w:color w:val="000000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shd w:val="clear" w:color="auto" w:fill="FCFDFD"/>
              </w:rPr>
              <w:t>W</w:t>
            </w:r>
            <w:r w:rsidR="005D37A8">
              <w:rPr>
                <w:color w:val="222222"/>
                <w:sz w:val="18"/>
                <w:szCs w:val="18"/>
                <w:shd w:val="clear" w:color="auto" w:fill="FCFDFD"/>
              </w:rPr>
              <w:t>ork can be done on an open bench, PPG is lab coat, eyeglasses and gloves as needed.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33F0" w14:textId="77777777" w:rsidR="0016000A" w:rsidRDefault="0016000A" w:rsidP="00B80CD8">
            <w:pPr>
              <w:shd w:val="clear" w:color="auto" w:fill="FCFDFD"/>
              <w:spacing w:before="100" w:beforeAutospacing="1" w:after="100" w:afterAutospacing="1"/>
              <w:rPr>
                <w:color w:val="222222"/>
                <w:sz w:val="18"/>
                <w:szCs w:val="21"/>
              </w:rPr>
            </w:pPr>
            <w:r w:rsidRPr="0016000A">
              <w:rPr>
                <w:color w:val="222222"/>
                <w:sz w:val="18"/>
                <w:szCs w:val="21"/>
              </w:rPr>
              <w:t xml:space="preserve">Appropriate personal protective equipment </w:t>
            </w:r>
            <w:r w:rsidR="003262F9">
              <w:rPr>
                <w:color w:val="222222"/>
                <w:sz w:val="18"/>
                <w:szCs w:val="21"/>
              </w:rPr>
              <w:t>is worn, lab coats, gloves, eye protection.</w:t>
            </w:r>
          </w:p>
          <w:p w14:paraId="47F23B8E" w14:textId="77777777" w:rsidR="003262F9" w:rsidRDefault="003262F9" w:rsidP="003262F9">
            <w:pPr>
              <w:shd w:val="clear" w:color="auto" w:fill="FCFDFD"/>
              <w:spacing w:before="100" w:beforeAutospacing="1" w:after="100" w:afterAutospacing="1"/>
              <w:rPr>
                <w:color w:val="222222"/>
                <w:sz w:val="18"/>
                <w:szCs w:val="21"/>
              </w:rPr>
            </w:pPr>
            <w:r>
              <w:rPr>
                <w:color w:val="222222"/>
                <w:sz w:val="18"/>
                <w:szCs w:val="21"/>
              </w:rPr>
              <w:t xml:space="preserve">All procedures that can cause </w:t>
            </w:r>
            <w:r w:rsidR="0016000A" w:rsidRPr="0016000A">
              <w:rPr>
                <w:color w:val="222222"/>
                <w:sz w:val="18"/>
                <w:szCs w:val="21"/>
              </w:rPr>
              <w:t>infection from aerosols or splashes are performed within a </w:t>
            </w:r>
            <w:r w:rsidR="0016000A" w:rsidRPr="003262F9">
              <w:rPr>
                <w:color w:val="222222"/>
                <w:sz w:val="18"/>
                <w:szCs w:val="21"/>
              </w:rPr>
              <w:t>biological safety cabinet</w:t>
            </w:r>
            <w:r>
              <w:rPr>
                <w:color w:val="222222"/>
                <w:sz w:val="18"/>
                <w:szCs w:val="21"/>
              </w:rPr>
              <w:t>.</w:t>
            </w:r>
            <w:r w:rsidR="0016000A" w:rsidRPr="003262F9">
              <w:rPr>
                <w:color w:val="222222"/>
                <w:sz w:val="18"/>
                <w:szCs w:val="21"/>
              </w:rPr>
              <w:t xml:space="preserve"> </w:t>
            </w:r>
          </w:p>
          <w:p w14:paraId="32E3875C" w14:textId="77777777" w:rsidR="005D37A8" w:rsidRPr="00F030ED" w:rsidRDefault="005D37A8" w:rsidP="0017023B">
            <w:pPr>
              <w:shd w:val="clear" w:color="auto" w:fill="FCFDFD"/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A6EB" w14:textId="77777777" w:rsidR="005D37A8" w:rsidRDefault="0017023B" w:rsidP="00170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 for BSL-2</w:t>
            </w:r>
            <w:r w:rsidR="001C35A3">
              <w:rPr>
                <w:color w:val="000000"/>
                <w:sz w:val="18"/>
                <w:szCs w:val="18"/>
              </w:rPr>
              <w:t xml:space="preserve"> but also including the following.</w:t>
            </w:r>
          </w:p>
          <w:p w14:paraId="0F2C5EB0" w14:textId="77777777" w:rsidR="001C35A3" w:rsidRDefault="001C35A3" w:rsidP="0017023B">
            <w:pPr>
              <w:rPr>
                <w:color w:val="000000"/>
                <w:sz w:val="18"/>
                <w:szCs w:val="18"/>
              </w:rPr>
            </w:pPr>
          </w:p>
          <w:p w14:paraId="34394D32" w14:textId="77777777" w:rsidR="001C35A3" w:rsidRDefault="001C35A3" w:rsidP="0017023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Researchers require immunization for agents they are working with.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6D9163D" w14:textId="77777777" w:rsidR="008F33DD" w:rsidRPr="008F33DD" w:rsidRDefault="008F33DD" w:rsidP="005D739A">
      <w:pPr>
        <w:pStyle w:val="ColorfulList-Accent11"/>
        <w:ind w:left="360"/>
        <w:jc w:val="both"/>
        <w:rPr>
          <w:sz w:val="16"/>
          <w:szCs w:val="16"/>
        </w:rPr>
      </w:pPr>
    </w:p>
    <w:p w14:paraId="4136E033" w14:textId="77777777" w:rsidR="006D7706" w:rsidRDefault="006D7706" w:rsidP="00023D82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Bigelow laboratory, as of this version of </w:t>
      </w:r>
      <w:r w:rsidR="004E054B">
        <w:rPr>
          <w:rFonts w:ascii="Calibri" w:hAnsi="Calibri"/>
          <w:sz w:val="22"/>
          <w:szCs w:val="22"/>
        </w:rPr>
        <w:t>this document, has five (5) Bios</w:t>
      </w:r>
      <w:r>
        <w:rPr>
          <w:rFonts w:ascii="Calibri" w:hAnsi="Calibri"/>
          <w:sz w:val="22"/>
          <w:szCs w:val="22"/>
        </w:rPr>
        <w:t>afety cabinets, all being rated at BSL-2 or higher.  These hoods are inspected annually by a certified technician.  These hoods can be found in the following places.</w:t>
      </w:r>
    </w:p>
    <w:p w14:paraId="7143EDA6" w14:textId="77777777" w:rsidR="006D7706" w:rsidRDefault="006D7706" w:rsidP="00023D82">
      <w:pPr>
        <w:ind w:left="360"/>
        <w:jc w:val="both"/>
        <w:rPr>
          <w:rFonts w:ascii="Calibri" w:hAnsi="Calibri"/>
          <w:sz w:val="22"/>
          <w:szCs w:val="22"/>
        </w:rPr>
      </w:pPr>
    </w:p>
    <w:p w14:paraId="5600F370" w14:textId="77777777" w:rsidR="006215B9" w:rsidRDefault="006215B9" w:rsidP="00023D82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NCMA room A109</w:t>
      </w:r>
    </w:p>
    <w:p w14:paraId="7D87EC85" w14:textId="77777777" w:rsidR="006215B9" w:rsidRDefault="006215B9" w:rsidP="00023D82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SCGC room A205</w:t>
      </w:r>
    </w:p>
    <w:p w14:paraId="6289AC8A" w14:textId="77777777" w:rsidR="001643A8" w:rsidRDefault="001643A8" w:rsidP="00023D82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FACS/SCGC </w:t>
      </w:r>
      <w:proofErr w:type="gramStart"/>
      <w:r>
        <w:rPr>
          <w:rFonts w:ascii="Calibri" w:hAnsi="Calibri"/>
          <w:sz w:val="22"/>
          <w:szCs w:val="22"/>
        </w:rPr>
        <w:t>Cleanroom</w:t>
      </w:r>
      <w:r w:rsidR="00416C55">
        <w:rPr>
          <w:rFonts w:ascii="Calibri" w:hAnsi="Calibri"/>
          <w:sz w:val="22"/>
          <w:szCs w:val="22"/>
        </w:rPr>
        <w:t xml:space="preserve">  A</w:t>
      </w:r>
      <w:proofErr w:type="gramEnd"/>
      <w:r w:rsidR="00416C55">
        <w:rPr>
          <w:rFonts w:ascii="Calibri" w:hAnsi="Calibri"/>
          <w:sz w:val="22"/>
          <w:szCs w:val="22"/>
        </w:rPr>
        <w:t>205B</w:t>
      </w:r>
    </w:p>
    <w:p w14:paraId="56AD1EA5" w14:textId="77777777" w:rsidR="006D7706" w:rsidRDefault="006215B9" w:rsidP="00023D82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Beth Orcutt’s lab room A207</w:t>
      </w:r>
      <w:r w:rsidR="006D7706">
        <w:rPr>
          <w:rFonts w:ascii="Calibri" w:hAnsi="Calibri"/>
          <w:sz w:val="22"/>
          <w:szCs w:val="22"/>
        </w:rPr>
        <w:t xml:space="preserve"> </w:t>
      </w:r>
    </w:p>
    <w:p w14:paraId="4A7D8B17" w14:textId="77777777" w:rsidR="006215B9" w:rsidRDefault="006215B9" w:rsidP="00023D82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Jose-Antonio’s lab room B109 (two cabinets)</w:t>
      </w:r>
    </w:p>
    <w:p w14:paraId="4D4DC174" w14:textId="77777777" w:rsidR="006215B9" w:rsidRDefault="006215B9" w:rsidP="00023D82">
      <w:pPr>
        <w:ind w:left="360"/>
        <w:jc w:val="both"/>
        <w:rPr>
          <w:rFonts w:ascii="Calibri" w:hAnsi="Calibri"/>
          <w:sz w:val="22"/>
          <w:szCs w:val="22"/>
        </w:rPr>
      </w:pPr>
    </w:p>
    <w:p w14:paraId="3B035FA6" w14:textId="77777777" w:rsidR="004E054B" w:rsidRDefault="004E054B" w:rsidP="00023D82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Before initiating any research in this area, Bigelow </w:t>
      </w:r>
      <w:r w:rsidR="00ED2196" w:rsidRPr="00116F1C">
        <w:rPr>
          <w:rFonts w:ascii="Calibri" w:hAnsi="Calibri"/>
          <w:b/>
          <w:sz w:val="22"/>
          <w:szCs w:val="22"/>
        </w:rPr>
        <w:t>requires</w:t>
      </w:r>
      <w:r>
        <w:rPr>
          <w:rFonts w:ascii="Calibri" w:hAnsi="Calibri"/>
          <w:sz w:val="22"/>
          <w:szCs w:val="22"/>
        </w:rPr>
        <w:t xml:space="preserve"> that staff involved in the analysis of these samples receive the proper training.  We suggest the following two sources of appropriate biosafety training.</w:t>
      </w:r>
    </w:p>
    <w:p w14:paraId="0B793B59" w14:textId="77777777" w:rsidR="004E054B" w:rsidRDefault="004E054B" w:rsidP="00023D82">
      <w:pPr>
        <w:ind w:left="360"/>
        <w:jc w:val="both"/>
        <w:rPr>
          <w:rFonts w:ascii="Calibri" w:hAnsi="Calibri"/>
          <w:sz w:val="22"/>
          <w:szCs w:val="22"/>
        </w:rPr>
      </w:pPr>
    </w:p>
    <w:p w14:paraId="44E68938" w14:textId="77777777" w:rsidR="004E054B" w:rsidRDefault="0082149C" w:rsidP="00116F1C">
      <w:pPr>
        <w:ind w:left="1170"/>
        <w:rPr>
          <w:rFonts w:ascii="Arial" w:hAnsi="Arial" w:cs="Arial"/>
          <w:color w:val="1155CC"/>
          <w:sz w:val="19"/>
          <w:szCs w:val="19"/>
          <w:u w:val="single"/>
          <w:shd w:val="clear" w:color="auto" w:fill="FFFFFF"/>
        </w:rPr>
      </w:pPr>
      <w:hyperlink r:id="rId8" w:history="1">
        <w:r w:rsidR="004E054B" w:rsidRPr="004A326F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http://www.safetyworksmaine.gov/</w:t>
        </w:r>
      </w:hyperlink>
    </w:p>
    <w:p w14:paraId="5B2AF28C" w14:textId="77777777" w:rsidR="004E054B" w:rsidRDefault="004E054B" w:rsidP="00116F1C">
      <w:pPr>
        <w:ind w:left="1170"/>
        <w:rPr>
          <w:rFonts w:ascii="Arial" w:hAnsi="Arial" w:cs="Arial"/>
          <w:color w:val="1155CC"/>
          <w:sz w:val="19"/>
          <w:szCs w:val="19"/>
          <w:u w:val="single"/>
          <w:shd w:val="clear" w:color="auto" w:fill="FFFFFF"/>
        </w:rPr>
      </w:pPr>
    </w:p>
    <w:p w14:paraId="19A7D076" w14:textId="77777777" w:rsidR="004E054B" w:rsidRDefault="0082149C" w:rsidP="00116F1C">
      <w:pPr>
        <w:ind w:left="1170"/>
      </w:pPr>
      <w:hyperlink r:id="rId9" w:tgtFrame="_blank" w:history="1">
        <w:r w:rsidR="004E054B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http://eduwhere.com/coursedescription.php?courseID=18</w:t>
        </w:r>
      </w:hyperlink>
    </w:p>
    <w:p w14:paraId="55F4EC0C" w14:textId="77777777" w:rsidR="004E054B" w:rsidRDefault="004E054B" w:rsidP="00023D82">
      <w:pPr>
        <w:ind w:left="360"/>
        <w:jc w:val="both"/>
        <w:rPr>
          <w:rFonts w:ascii="Calibri" w:hAnsi="Calibri"/>
          <w:sz w:val="22"/>
          <w:szCs w:val="22"/>
        </w:rPr>
      </w:pPr>
    </w:p>
    <w:p w14:paraId="30107681" w14:textId="77777777" w:rsidR="006215B9" w:rsidRDefault="006215B9" w:rsidP="00023D82">
      <w:pPr>
        <w:ind w:left="360"/>
        <w:jc w:val="both"/>
        <w:rPr>
          <w:rFonts w:ascii="Calibri" w:hAnsi="Calibri"/>
          <w:sz w:val="22"/>
          <w:szCs w:val="22"/>
        </w:rPr>
      </w:pPr>
    </w:p>
    <w:p w14:paraId="029F0D28" w14:textId="77777777" w:rsidR="00023D82" w:rsidRDefault="00127AED" w:rsidP="00023D82">
      <w:pPr>
        <w:ind w:left="360"/>
        <w:jc w:val="both"/>
        <w:rPr>
          <w:rFonts w:ascii="Calibri" w:hAnsi="Calibri"/>
          <w:sz w:val="22"/>
          <w:szCs w:val="22"/>
        </w:rPr>
      </w:pPr>
      <w:r w:rsidRPr="00023D82">
        <w:rPr>
          <w:rFonts w:ascii="Calibri" w:hAnsi="Calibri"/>
          <w:sz w:val="22"/>
          <w:szCs w:val="22"/>
        </w:rPr>
        <w:t xml:space="preserve">Bigelow Laboratory for Ocean Sciences takes the issue of working with </w:t>
      </w:r>
      <w:r w:rsidR="002213F0">
        <w:rPr>
          <w:rFonts w:ascii="Calibri" w:hAnsi="Calibri"/>
          <w:sz w:val="22"/>
          <w:szCs w:val="22"/>
        </w:rPr>
        <w:t xml:space="preserve">biosafety hazards of any kind </w:t>
      </w:r>
      <w:r w:rsidRPr="00023D82">
        <w:rPr>
          <w:rFonts w:ascii="Calibri" w:hAnsi="Calibri"/>
          <w:sz w:val="22"/>
          <w:szCs w:val="22"/>
        </w:rPr>
        <w:t>very seriously. Th</w:t>
      </w:r>
      <w:r w:rsidR="00023D82">
        <w:rPr>
          <w:rFonts w:ascii="Calibri" w:hAnsi="Calibri"/>
          <w:sz w:val="22"/>
          <w:szCs w:val="22"/>
        </w:rPr>
        <w:t>e IBC</w:t>
      </w:r>
      <w:r w:rsidRPr="00023D82">
        <w:rPr>
          <w:rFonts w:ascii="Calibri" w:hAnsi="Calibri"/>
          <w:sz w:val="22"/>
          <w:szCs w:val="22"/>
        </w:rPr>
        <w:t xml:space="preserve"> document</w:t>
      </w:r>
      <w:r w:rsidR="00023D82">
        <w:rPr>
          <w:rFonts w:ascii="Calibri" w:hAnsi="Calibri"/>
          <w:sz w:val="22"/>
          <w:szCs w:val="22"/>
        </w:rPr>
        <w:t>s outline</w:t>
      </w:r>
      <w:r w:rsidRPr="00023D82">
        <w:rPr>
          <w:rFonts w:ascii="Calibri" w:hAnsi="Calibri"/>
          <w:sz w:val="22"/>
          <w:szCs w:val="22"/>
        </w:rPr>
        <w:t xml:space="preserve"> the procedures to be followed when working with </w:t>
      </w:r>
      <w:r w:rsidR="00133CAC">
        <w:rPr>
          <w:rFonts w:ascii="Calibri" w:hAnsi="Calibri"/>
          <w:sz w:val="22"/>
          <w:szCs w:val="22"/>
        </w:rPr>
        <w:t>any cells</w:t>
      </w:r>
      <w:r w:rsidR="008E301E">
        <w:rPr>
          <w:rFonts w:ascii="Calibri" w:hAnsi="Calibri"/>
          <w:sz w:val="22"/>
          <w:szCs w:val="22"/>
        </w:rPr>
        <w:t xml:space="preserve"> or higher organisms</w:t>
      </w:r>
      <w:r w:rsidR="00133CAC">
        <w:rPr>
          <w:rFonts w:ascii="Calibri" w:hAnsi="Calibri"/>
          <w:sz w:val="22"/>
          <w:szCs w:val="22"/>
        </w:rPr>
        <w:t xml:space="preserve"> that are potential hazards, </w:t>
      </w:r>
      <w:r w:rsidR="002213F0">
        <w:rPr>
          <w:rFonts w:ascii="Calibri" w:hAnsi="Calibri"/>
          <w:sz w:val="22"/>
          <w:szCs w:val="22"/>
        </w:rPr>
        <w:t>i</w:t>
      </w:r>
      <w:r w:rsidRPr="00023D82">
        <w:rPr>
          <w:rFonts w:ascii="Calibri" w:hAnsi="Calibri"/>
          <w:sz w:val="22"/>
          <w:szCs w:val="22"/>
        </w:rPr>
        <w:t xml:space="preserve">ncluding </w:t>
      </w:r>
      <w:r w:rsidR="00CA191D">
        <w:rPr>
          <w:rFonts w:ascii="Calibri" w:hAnsi="Calibri"/>
          <w:sz w:val="22"/>
          <w:szCs w:val="22"/>
        </w:rPr>
        <w:t xml:space="preserve">but not limited to </w:t>
      </w:r>
      <w:r w:rsidRPr="00023D82">
        <w:rPr>
          <w:rFonts w:ascii="Calibri" w:hAnsi="Calibri"/>
          <w:sz w:val="22"/>
          <w:szCs w:val="22"/>
        </w:rPr>
        <w:t xml:space="preserve">the </w:t>
      </w:r>
      <w:r w:rsidR="008E301E">
        <w:rPr>
          <w:rFonts w:ascii="Calibri" w:hAnsi="Calibri"/>
          <w:sz w:val="22"/>
          <w:szCs w:val="22"/>
        </w:rPr>
        <w:t xml:space="preserve">application </w:t>
      </w:r>
      <w:r w:rsidRPr="00023D82">
        <w:rPr>
          <w:rFonts w:ascii="Calibri" w:hAnsi="Calibri"/>
          <w:sz w:val="22"/>
          <w:szCs w:val="22"/>
        </w:rPr>
        <w:t>process of deciding whether to engage in a project that involves genetic modification or genetic engineering.</w:t>
      </w:r>
      <w:r w:rsidR="008F33DD">
        <w:rPr>
          <w:rFonts w:ascii="Calibri" w:hAnsi="Calibri"/>
          <w:sz w:val="22"/>
          <w:szCs w:val="22"/>
        </w:rPr>
        <w:t xml:space="preserve"> </w:t>
      </w:r>
      <w:r w:rsidR="00023D82">
        <w:rPr>
          <w:rFonts w:ascii="Calibri" w:hAnsi="Calibri"/>
          <w:sz w:val="22"/>
          <w:szCs w:val="22"/>
        </w:rPr>
        <w:t>These documents can be found on BLOS Storage\Resources\Safety\IBC</w:t>
      </w:r>
      <w:r w:rsidR="005D739A">
        <w:rPr>
          <w:rFonts w:ascii="Calibri" w:hAnsi="Calibri"/>
          <w:sz w:val="22"/>
          <w:szCs w:val="22"/>
        </w:rPr>
        <w:t xml:space="preserve"> or by contacting the chair of the IBC (see below).</w:t>
      </w:r>
      <w:r w:rsidR="008F33DD">
        <w:rPr>
          <w:rFonts w:ascii="Calibri" w:hAnsi="Calibri"/>
          <w:sz w:val="22"/>
          <w:szCs w:val="22"/>
        </w:rPr>
        <w:t xml:space="preserve">  </w:t>
      </w:r>
      <w:r w:rsidR="008E301E">
        <w:rPr>
          <w:rFonts w:ascii="Calibri" w:hAnsi="Calibri"/>
          <w:sz w:val="22"/>
          <w:szCs w:val="22"/>
        </w:rPr>
        <w:t>Please note, these documents may be updated as needed, so please check for the most recent version.</w:t>
      </w:r>
    </w:p>
    <w:p w14:paraId="2AC8664A" w14:textId="77777777" w:rsidR="008F33DD" w:rsidRPr="00023D82" w:rsidRDefault="008F33DD" w:rsidP="00023D82">
      <w:pPr>
        <w:ind w:left="360"/>
        <w:jc w:val="both"/>
        <w:rPr>
          <w:rFonts w:ascii="Calibri" w:hAnsi="Calibri"/>
          <w:bCs/>
          <w:sz w:val="16"/>
          <w:szCs w:val="16"/>
        </w:rPr>
      </w:pPr>
    </w:p>
    <w:p w14:paraId="6508E58C" w14:textId="77777777" w:rsidR="006468DE" w:rsidRDefault="006468DE" w:rsidP="006468DE">
      <w:pPr>
        <w:ind w:left="360"/>
        <w:rPr>
          <w:rFonts w:ascii="Calibri" w:hAnsi="Calibri"/>
          <w:sz w:val="22"/>
          <w:szCs w:val="22"/>
        </w:rPr>
      </w:pPr>
      <w:r w:rsidRPr="00023D82">
        <w:rPr>
          <w:rFonts w:ascii="Calibri" w:hAnsi="Calibri"/>
          <w:sz w:val="22"/>
          <w:szCs w:val="22"/>
        </w:rPr>
        <w:t xml:space="preserve">Bigelow Laboratory’s policy is that </w:t>
      </w:r>
      <w:r w:rsidRPr="004F1F44">
        <w:rPr>
          <w:rFonts w:ascii="Calibri" w:hAnsi="Calibri"/>
          <w:b/>
          <w:sz w:val="22"/>
          <w:szCs w:val="22"/>
        </w:rPr>
        <w:t>all proposed research that use</w:t>
      </w:r>
      <w:r w:rsidR="008E301E">
        <w:rPr>
          <w:rFonts w:ascii="Calibri" w:hAnsi="Calibri"/>
          <w:b/>
          <w:sz w:val="22"/>
          <w:szCs w:val="22"/>
        </w:rPr>
        <w:t>s</w:t>
      </w:r>
      <w:r w:rsidRPr="004F1F44">
        <w:rPr>
          <w:rFonts w:ascii="Calibri" w:hAnsi="Calibri"/>
          <w:b/>
          <w:sz w:val="22"/>
          <w:szCs w:val="22"/>
        </w:rPr>
        <w:t xml:space="preserve"> </w:t>
      </w:r>
      <w:r w:rsidR="008E301E">
        <w:rPr>
          <w:rFonts w:ascii="Calibri" w:hAnsi="Calibri"/>
          <w:b/>
          <w:sz w:val="22"/>
          <w:szCs w:val="22"/>
        </w:rPr>
        <w:t xml:space="preserve">cells or higher organisms </w:t>
      </w:r>
      <w:r w:rsidR="006D7706">
        <w:rPr>
          <w:rFonts w:ascii="Calibri" w:hAnsi="Calibri"/>
          <w:b/>
          <w:sz w:val="22"/>
          <w:szCs w:val="22"/>
        </w:rPr>
        <w:t>with a potential biosafety hazard</w:t>
      </w:r>
      <w:r w:rsidR="005A323F" w:rsidRPr="004F1F44">
        <w:rPr>
          <w:rFonts w:ascii="Calibri" w:hAnsi="Calibri"/>
          <w:b/>
          <w:sz w:val="22"/>
          <w:szCs w:val="22"/>
        </w:rPr>
        <w:t>,</w:t>
      </w:r>
      <w:r w:rsidR="007F0ED6" w:rsidRPr="004F1F44">
        <w:rPr>
          <w:rFonts w:ascii="Calibri" w:hAnsi="Calibri"/>
          <w:b/>
          <w:sz w:val="22"/>
          <w:szCs w:val="22"/>
        </w:rPr>
        <w:t xml:space="preserve"> with or without the use of </w:t>
      </w:r>
      <w:r w:rsidRPr="004F1F44">
        <w:rPr>
          <w:rFonts w:ascii="Calibri" w:hAnsi="Calibri"/>
          <w:b/>
          <w:sz w:val="22"/>
          <w:szCs w:val="22"/>
        </w:rPr>
        <w:t>recombinant and/or synthetic DNA methods</w:t>
      </w:r>
      <w:r w:rsidR="005A323F" w:rsidRPr="004F1F44">
        <w:rPr>
          <w:rFonts w:ascii="Calibri" w:hAnsi="Calibri"/>
          <w:b/>
          <w:sz w:val="22"/>
          <w:szCs w:val="22"/>
        </w:rPr>
        <w:t>,</w:t>
      </w:r>
      <w:r w:rsidRPr="004F1F44">
        <w:rPr>
          <w:rFonts w:ascii="Calibri" w:hAnsi="Calibri"/>
          <w:b/>
          <w:sz w:val="22"/>
          <w:szCs w:val="22"/>
        </w:rPr>
        <w:t xml:space="preserve"> must first be reported to the IBC committee via </w:t>
      </w:r>
      <w:r w:rsidR="006D7706">
        <w:rPr>
          <w:rFonts w:ascii="Calibri" w:hAnsi="Calibri"/>
          <w:b/>
          <w:sz w:val="22"/>
          <w:szCs w:val="22"/>
        </w:rPr>
        <w:t xml:space="preserve">the </w:t>
      </w:r>
      <w:proofErr w:type="spellStart"/>
      <w:r w:rsidR="006D7706">
        <w:rPr>
          <w:rFonts w:ascii="Calibri" w:hAnsi="Calibri"/>
          <w:b/>
          <w:sz w:val="22"/>
          <w:szCs w:val="22"/>
        </w:rPr>
        <w:t>BioSafety</w:t>
      </w:r>
      <w:proofErr w:type="spellEnd"/>
      <w:r w:rsidR="006D7706" w:rsidRPr="004F1F44">
        <w:rPr>
          <w:rFonts w:ascii="Calibri" w:hAnsi="Calibri"/>
          <w:b/>
          <w:sz w:val="22"/>
          <w:szCs w:val="22"/>
        </w:rPr>
        <w:t xml:space="preserve"> </w:t>
      </w:r>
      <w:r w:rsidR="006D7706">
        <w:rPr>
          <w:rFonts w:ascii="Calibri" w:hAnsi="Calibri"/>
          <w:b/>
          <w:sz w:val="22"/>
          <w:szCs w:val="22"/>
        </w:rPr>
        <w:t>R</w:t>
      </w:r>
      <w:r w:rsidRPr="004F1F44">
        <w:rPr>
          <w:rFonts w:ascii="Calibri" w:hAnsi="Calibri"/>
          <w:b/>
          <w:sz w:val="22"/>
          <w:szCs w:val="22"/>
        </w:rPr>
        <w:t xml:space="preserve">egistration </w:t>
      </w:r>
      <w:r w:rsidR="006D7706">
        <w:rPr>
          <w:rFonts w:ascii="Calibri" w:hAnsi="Calibri"/>
          <w:b/>
          <w:sz w:val="22"/>
          <w:szCs w:val="22"/>
        </w:rPr>
        <w:t>Form</w:t>
      </w:r>
      <w:r w:rsidR="006D7706" w:rsidRPr="00023D82">
        <w:rPr>
          <w:rFonts w:ascii="Calibri" w:hAnsi="Calibri"/>
          <w:sz w:val="22"/>
          <w:szCs w:val="22"/>
        </w:rPr>
        <w:t xml:space="preserve"> </w:t>
      </w:r>
      <w:r w:rsidRPr="00023D82">
        <w:rPr>
          <w:rFonts w:ascii="Calibri" w:hAnsi="Calibri"/>
          <w:sz w:val="22"/>
          <w:szCs w:val="22"/>
        </w:rPr>
        <w:t>(</w:t>
      </w:r>
      <w:r w:rsidR="00127AED" w:rsidRPr="00023D82">
        <w:rPr>
          <w:rFonts w:ascii="Calibri" w:hAnsi="Calibri"/>
          <w:sz w:val="22"/>
          <w:szCs w:val="22"/>
        </w:rPr>
        <w:t xml:space="preserve">BLOS </w:t>
      </w:r>
      <w:proofErr w:type="spellStart"/>
      <w:r w:rsidR="00127AED" w:rsidRPr="00023D82">
        <w:rPr>
          <w:rFonts w:ascii="Calibri" w:hAnsi="Calibri"/>
          <w:sz w:val="22"/>
          <w:szCs w:val="22"/>
        </w:rPr>
        <w:t>HazCom</w:t>
      </w:r>
      <w:proofErr w:type="spellEnd"/>
      <w:r w:rsidR="00127AED" w:rsidRPr="00023D82">
        <w:rPr>
          <w:rFonts w:ascii="Calibri" w:hAnsi="Calibri"/>
          <w:sz w:val="22"/>
          <w:szCs w:val="22"/>
        </w:rPr>
        <w:t xml:space="preserve"> </w:t>
      </w:r>
      <w:r w:rsidRPr="00023D82">
        <w:rPr>
          <w:rFonts w:ascii="Calibri" w:hAnsi="Calibri"/>
          <w:sz w:val="22"/>
          <w:szCs w:val="22"/>
        </w:rPr>
        <w:t>Appendix</w:t>
      </w:r>
      <w:r w:rsidR="00127AED" w:rsidRPr="00023D82">
        <w:rPr>
          <w:rFonts w:ascii="Calibri" w:hAnsi="Calibri"/>
          <w:sz w:val="22"/>
          <w:szCs w:val="22"/>
        </w:rPr>
        <w:t xml:space="preserve"> 18</w:t>
      </w:r>
      <w:r w:rsidR="008F33DD">
        <w:rPr>
          <w:rFonts w:ascii="Calibri" w:hAnsi="Calibri"/>
          <w:sz w:val="22"/>
          <w:szCs w:val="22"/>
        </w:rPr>
        <w:t>A and B</w:t>
      </w:r>
      <w:r w:rsidR="00023D82">
        <w:rPr>
          <w:rFonts w:ascii="Calibri" w:hAnsi="Calibri"/>
          <w:sz w:val="22"/>
          <w:szCs w:val="22"/>
        </w:rPr>
        <w:t xml:space="preserve">, </w:t>
      </w:r>
      <w:r w:rsidR="005D739A">
        <w:rPr>
          <w:rFonts w:ascii="Calibri" w:hAnsi="Calibri"/>
          <w:sz w:val="22"/>
          <w:szCs w:val="22"/>
        </w:rPr>
        <w:t>or</w:t>
      </w:r>
      <w:r w:rsidR="00023D82">
        <w:rPr>
          <w:rFonts w:ascii="Calibri" w:hAnsi="Calibri"/>
          <w:sz w:val="22"/>
          <w:szCs w:val="22"/>
        </w:rPr>
        <w:t xml:space="preserve"> Storage\Resources\Safety\IBC</w:t>
      </w:r>
      <w:r w:rsidR="00493589">
        <w:rPr>
          <w:rFonts w:ascii="Calibri" w:hAnsi="Calibri"/>
          <w:sz w:val="22"/>
          <w:szCs w:val="22"/>
        </w:rPr>
        <w:t>, or from the IBC chair</w:t>
      </w:r>
      <w:r w:rsidR="00127AED" w:rsidRPr="00023D82">
        <w:rPr>
          <w:rFonts w:ascii="Calibri" w:hAnsi="Calibri"/>
          <w:sz w:val="22"/>
          <w:szCs w:val="22"/>
        </w:rPr>
        <w:t>)</w:t>
      </w:r>
      <w:r w:rsidRPr="00023D82">
        <w:rPr>
          <w:rFonts w:ascii="Calibri" w:hAnsi="Calibri"/>
          <w:sz w:val="22"/>
          <w:szCs w:val="22"/>
        </w:rPr>
        <w:t xml:space="preserve">. </w:t>
      </w:r>
    </w:p>
    <w:p w14:paraId="215B1356" w14:textId="77777777" w:rsidR="00023D82" w:rsidRPr="005D739A" w:rsidRDefault="00023D82" w:rsidP="006468DE">
      <w:pPr>
        <w:ind w:left="360"/>
        <w:rPr>
          <w:rFonts w:ascii="Calibri" w:hAnsi="Calibri"/>
          <w:sz w:val="20"/>
          <w:szCs w:val="20"/>
        </w:rPr>
      </w:pPr>
    </w:p>
    <w:p w14:paraId="3E019E2A" w14:textId="77777777" w:rsidR="00023D82" w:rsidRDefault="00023D82" w:rsidP="006468DE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Current IBC members:</w:t>
      </w:r>
    </w:p>
    <w:p w14:paraId="5F1D7584" w14:textId="77777777" w:rsidR="00023D82" w:rsidRDefault="00B524E2" w:rsidP="00305E39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Dr. </w:t>
      </w:r>
      <w:r w:rsidR="00023D82">
        <w:rPr>
          <w:rFonts w:ascii="Calibri" w:hAnsi="Calibri"/>
          <w:sz w:val="22"/>
          <w:szCs w:val="22"/>
        </w:rPr>
        <w:t>Mike Lomas, SRS, chair</w:t>
      </w:r>
    </w:p>
    <w:p w14:paraId="08323501" w14:textId="77777777" w:rsidR="00023D82" w:rsidRDefault="00B524E2" w:rsidP="00305E39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Dr. </w:t>
      </w:r>
      <w:r w:rsidR="00023D82">
        <w:rPr>
          <w:rFonts w:ascii="Calibri" w:hAnsi="Calibri"/>
          <w:sz w:val="22"/>
          <w:szCs w:val="22"/>
        </w:rPr>
        <w:t xml:space="preserve">Peter </w:t>
      </w:r>
      <w:proofErr w:type="spellStart"/>
      <w:r w:rsidR="00023D82">
        <w:rPr>
          <w:rFonts w:ascii="Calibri" w:hAnsi="Calibri"/>
          <w:sz w:val="22"/>
          <w:szCs w:val="22"/>
        </w:rPr>
        <w:t>Countway</w:t>
      </w:r>
      <w:proofErr w:type="spellEnd"/>
      <w:r w:rsidR="00023D82">
        <w:rPr>
          <w:rFonts w:ascii="Calibri" w:hAnsi="Calibri"/>
          <w:sz w:val="22"/>
          <w:szCs w:val="22"/>
        </w:rPr>
        <w:t>, SRS</w:t>
      </w:r>
    </w:p>
    <w:p w14:paraId="092817FF" w14:textId="77777777" w:rsidR="00305E39" w:rsidRDefault="00305E39" w:rsidP="00305E39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Dr. David Emerson, SRS</w:t>
      </w:r>
    </w:p>
    <w:p w14:paraId="622D40B1" w14:textId="77777777" w:rsidR="00023D82" w:rsidRDefault="00B524E2" w:rsidP="00305E39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Dr. </w:t>
      </w:r>
      <w:proofErr w:type="spellStart"/>
      <w:r w:rsidR="00422B07">
        <w:rPr>
          <w:rFonts w:ascii="Calibri" w:hAnsi="Calibri"/>
          <w:sz w:val="22"/>
          <w:szCs w:val="22"/>
        </w:rPr>
        <w:t>Ramunas</w:t>
      </w:r>
      <w:proofErr w:type="spellEnd"/>
      <w:r w:rsidR="00422B07">
        <w:rPr>
          <w:rFonts w:ascii="Calibri" w:hAnsi="Calibri"/>
          <w:sz w:val="22"/>
          <w:szCs w:val="22"/>
        </w:rPr>
        <w:t xml:space="preserve"> </w:t>
      </w:r>
      <w:proofErr w:type="spellStart"/>
      <w:r w:rsidR="00422B07">
        <w:rPr>
          <w:rFonts w:ascii="Calibri" w:hAnsi="Calibri"/>
          <w:sz w:val="22"/>
          <w:szCs w:val="22"/>
        </w:rPr>
        <w:t>Stepanauskas</w:t>
      </w:r>
      <w:proofErr w:type="spellEnd"/>
      <w:r w:rsidR="00023D82">
        <w:rPr>
          <w:rFonts w:ascii="Calibri" w:hAnsi="Calibri"/>
          <w:sz w:val="22"/>
          <w:szCs w:val="22"/>
        </w:rPr>
        <w:t>, SRS</w:t>
      </w:r>
    </w:p>
    <w:p w14:paraId="7D17A2D5" w14:textId="408BB575" w:rsidR="00023D82" w:rsidRDefault="005F3D69" w:rsidP="00305E39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Jay Wheeler</w:t>
      </w:r>
      <w:r w:rsidR="00023D82">
        <w:rPr>
          <w:rFonts w:ascii="Calibri" w:hAnsi="Calibri"/>
          <w:sz w:val="22"/>
          <w:szCs w:val="22"/>
        </w:rPr>
        <w:t>, Safety Officer</w:t>
      </w:r>
    </w:p>
    <w:p w14:paraId="0ECED219" w14:textId="77777777" w:rsidR="00023D82" w:rsidRDefault="00023D82" w:rsidP="00305E39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Tim Pinkham, Lab Manager</w:t>
      </w:r>
    </w:p>
    <w:p w14:paraId="2F5EC15B" w14:textId="77777777" w:rsidR="00023D82" w:rsidRDefault="00305E39" w:rsidP="00305E39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Dr.</w:t>
      </w:r>
      <w:r w:rsidR="00B524E2">
        <w:rPr>
          <w:rFonts w:ascii="Calibri" w:hAnsi="Calibri"/>
          <w:sz w:val="22"/>
          <w:szCs w:val="22"/>
        </w:rPr>
        <w:t xml:space="preserve"> </w:t>
      </w:r>
      <w:r w:rsidR="00023D82">
        <w:rPr>
          <w:rFonts w:ascii="Calibri" w:hAnsi="Calibri"/>
          <w:sz w:val="22"/>
          <w:szCs w:val="22"/>
        </w:rPr>
        <w:t xml:space="preserve">Sarah </w:t>
      </w:r>
      <w:proofErr w:type="spellStart"/>
      <w:r w:rsidR="00023D82">
        <w:rPr>
          <w:rFonts w:ascii="Calibri" w:hAnsi="Calibri"/>
          <w:sz w:val="22"/>
          <w:szCs w:val="22"/>
        </w:rPr>
        <w:t>Foulger</w:t>
      </w:r>
      <w:proofErr w:type="spellEnd"/>
      <w:r w:rsidR="00023D82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Pastor, BBH Congregational Church</w:t>
      </w:r>
    </w:p>
    <w:p w14:paraId="612C8358" w14:textId="77777777" w:rsidR="005D7316" w:rsidRPr="007F0ED6" w:rsidRDefault="00023D82" w:rsidP="007F0ED6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Lauren </w:t>
      </w:r>
      <w:r w:rsidR="00B524E2">
        <w:rPr>
          <w:rFonts w:ascii="Calibri" w:hAnsi="Calibri"/>
          <w:sz w:val="22"/>
          <w:szCs w:val="22"/>
        </w:rPr>
        <w:t xml:space="preserve">Graham, </w:t>
      </w:r>
      <w:r w:rsidR="00305E39">
        <w:rPr>
          <w:rFonts w:ascii="Calibri" w:hAnsi="Calibri"/>
          <w:sz w:val="22"/>
          <w:szCs w:val="22"/>
        </w:rPr>
        <w:t>BRHS science teacher</w:t>
      </w:r>
    </w:p>
    <w:sectPr w:rsidR="005D7316" w:rsidRPr="007F0ED6" w:rsidSect="00B13003">
      <w:footerReference w:type="even" r:id="rId10"/>
      <w:footerReference w:type="default" r:id="rId11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72A86" w14:textId="77777777" w:rsidR="0082149C" w:rsidRDefault="0082149C" w:rsidP="006468DE">
      <w:r>
        <w:separator/>
      </w:r>
    </w:p>
  </w:endnote>
  <w:endnote w:type="continuationSeparator" w:id="0">
    <w:p w14:paraId="15F6CA43" w14:textId="77777777" w:rsidR="0082149C" w:rsidRDefault="0082149C" w:rsidP="0064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946094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D1AB9F" w14:textId="74C1671E" w:rsidR="000C65CB" w:rsidRDefault="000C65CB" w:rsidP="001848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516056" w14:textId="77777777" w:rsidR="000C65CB" w:rsidRDefault="000C65CB" w:rsidP="000C65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166EC" w14:textId="333CA47F" w:rsidR="000C65CB" w:rsidRDefault="000C65CB" w:rsidP="0018481D">
    <w:pPr>
      <w:pStyle w:val="Footer"/>
      <w:framePr w:wrap="none" w:vAnchor="text" w:hAnchor="margin" w:xAlign="right" w:y="1"/>
      <w:rPr>
        <w:rStyle w:val="PageNumber"/>
      </w:rPr>
    </w:pPr>
  </w:p>
  <w:p w14:paraId="323B7EC1" w14:textId="3B65A92A" w:rsidR="006468DE" w:rsidRPr="00D07C58" w:rsidRDefault="006468DE" w:rsidP="000C65CB">
    <w:pPr>
      <w:pStyle w:val="Footer"/>
      <w:tabs>
        <w:tab w:val="clear" w:pos="4680"/>
        <w:tab w:val="clear" w:pos="9360"/>
        <w:tab w:val="center" w:pos="4320"/>
        <w:tab w:val="right" w:pos="8640"/>
      </w:tabs>
      <w:ind w:right="360"/>
      <w:rPr>
        <w:rFonts w:ascii="Calibri" w:hAnsi="Calibri"/>
        <w:sz w:val="22"/>
        <w:szCs w:val="22"/>
      </w:rPr>
    </w:pPr>
    <w:r w:rsidRPr="00D07C58">
      <w:rPr>
        <w:rFonts w:ascii="Calibri" w:hAnsi="Calibri"/>
        <w:sz w:val="22"/>
        <w:szCs w:val="22"/>
      </w:rPr>
      <w:t xml:space="preserve">BLOS </w:t>
    </w:r>
    <w:proofErr w:type="spellStart"/>
    <w:r w:rsidRPr="00D07C58">
      <w:rPr>
        <w:rFonts w:ascii="Calibri" w:hAnsi="Calibri"/>
        <w:sz w:val="22"/>
        <w:szCs w:val="22"/>
      </w:rPr>
      <w:t>HazCom</w:t>
    </w:r>
    <w:proofErr w:type="spellEnd"/>
    <w:r w:rsidRPr="00D07C58">
      <w:rPr>
        <w:rFonts w:ascii="Calibri" w:hAnsi="Calibri"/>
        <w:sz w:val="22"/>
        <w:szCs w:val="22"/>
      </w:rPr>
      <w:tab/>
      <w:t>Revi</w:t>
    </w:r>
    <w:r w:rsidR="00305E39" w:rsidRPr="00D07C58">
      <w:rPr>
        <w:rFonts w:ascii="Calibri" w:hAnsi="Calibri"/>
        <w:sz w:val="22"/>
        <w:szCs w:val="22"/>
      </w:rPr>
      <w:t>ewe</w:t>
    </w:r>
    <w:r w:rsidRPr="00D07C58">
      <w:rPr>
        <w:rFonts w:ascii="Calibri" w:hAnsi="Calibri"/>
        <w:sz w:val="22"/>
        <w:szCs w:val="22"/>
      </w:rPr>
      <w:t xml:space="preserve">d: </w:t>
    </w:r>
    <w:r w:rsidR="00305E39" w:rsidRPr="00D07C58">
      <w:rPr>
        <w:rFonts w:ascii="Calibri" w:hAnsi="Calibri"/>
        <w:sz w:val="22"/>
        <w:szCs w:val="22"/>
      </w:rPr>
      <w:fldChar w:fldCharType="begin"/>
    </w:r>
    <w:r w:rsidR="00305E39" w:rsidRPr="00D07C58">
      <w:rPr>
        <w:rFonts w:ascii="Calibri" w:hAnsi="Calibri"/>
        <w:sz w:val="22"/>
        <w:szCs w:val="22"/>
      </w:rPr>
      <w:instrText xml:space="preserve"> DATE \@ "M/d/yyyy" </w:instrText>
    </w:r>
    <w:r w:rsidR="00305E39" w:rsidRPr="00D07C58">
      <w:rPr>
        <w:rFonts w:ascii="Calibri" w:hAnsi="Calibri"/>
        <w:sz w:val="22"/>
        <w:szCs w:val="22"/>
      </w:rPr>
      <w:fldChar w:fldCharType="separate"/>
    </w:r>
    <w:r w:rsidR="005F3D69">
      <w:rPr>
        <w:rFonts w:ascii="Calibri" w:hAnsi="Calibri"/>
        <w:noProof/>
        <w:sz w:val="22"/>
        <w:szCs w:val="22"/>
      </w:rPr>
      <w:t>8/31/2021</w:t>
    </w:r>
    <w:r w:rsidR="00305E39" w:rsidRPr="00D07C58">
      <w:rPr>
        <w:rFonts w:ascii="Calibri" w:hAnsi="Calibri"/>
        <w:sz w:val="22"/>
        <w:szCs w:val="22"/>
      </w:rPr>
      <w:fldChar w:fldCharType="end"/>
    </w:r>
    <w:r w:rsidR="000C65CB">
      <w:rPr>
        <w:rFonts w:ascii="Calibri" w:hAnsi="Calibri"/>
        <w:sz w:val="22"/>
        <w:szCs w:val="22"/>
      </w:rPr>
      <w:tab/>
      <w:t xml:space="preserve">Page </w:t>
    </w:r>
    <w:r w:rsidR="000C65CB">
      <w:rPr>
        <w:rFonts w:ascii="Calibri" w:hAnsi="Calibri"/>
        <w:sz w:val="22"/>
        <w:szCs w:val="22"/>
      </w:rPr>
      <w:fldChar w:fldCharType="begin"/>
    </w:r>
    <w:r w:rsidR="000C65CB">
      <w:rPr>
        <w:rFonts w:ascii="Calibri" w:hAnsi="Calibri"/>
        <w:sz w:val="22"/>
        <w:szCs w:val="22"/>
      </w:rPr>
      <w:instrText xml:space="preserve"> PAGE  \* MERGEFORMAT </w:instrText>
    </w:r>
    <w:r w:rsidR="000C65CB">
      <w:rPr>
        <w:rFonts w:ascii="Calibri" w:hAnsi="Calibri"/>
        <w:sz w:val="22"/>
        <w:szCs w:val="22"/>
      </w:rPr>
      <w:fldChar w:fldCharType="separate"/>
    </w:r>
    <w:r w:rsidR="00E25847">
      <w:rPr>
        <w:rFonts w:ascii="Calibri" w:hAnsi="Calibri"/>
        <w:noProof/>
        <w:sz w:val="22"/>
        <w:szCs w:val="22"/>
      </w:rPr>
      <w:t>1</w:t>
    </w:r>
    <w:r w:rsidR="000C65CB">
      <w:rPr>
        <w:rFonts w:ascii="Calibri" w:hAnsi="Calibri"/>
        <w:sz w:val="22"/>
        <w:szCs w:val="22"/>
      </w:rPr>
      <w:fldChar w:fldCharType="end"/>
    </w:r>
    <w:r w:rsidR="000C65CB">
      <w:rPr>
        <w:rFonts w:ascii="Calibri" w:hAnsi="Calibri"/>
        <w:sz w:val="22"/>
        <w:szCs w:val="22"/>
      </w:rPr>
      <w:t xml:space="preserve"> of </w:t>
    </w:r>
    <w:r w:rsidR="000C65CB">
      <w:rPr>
        <w:rFonts w:ascii="Calibri" w:hAnsi="Calibri"/>
        <w:sz w:val="22"/>
        <w:szCs w:val="22"/>
      </w:rPr>
      <w:fldChar w:fldCharType="begin"/>
    </w:r>
    <w:r w:rsidR="000C65CB">
      <w:rPr>
        <w:rFonts w:ascii="Calibri" w:hAnsi="Calibri"/>
        <w:sz w:val="22"/>
        <w:szCs w:val="22"/>
      </w:rPr>
      <w:instrText xml:space="preserve"> SECTIONPAGES  \* MERGEFORMAT </w:instrText>
    </w:r>
    <w:r w:rsidR="000C65CB">
      <w:rPr>
        <w:rFonts w:ascii="Calibri" w:hAnsi="Calibri"/>
        <w:sz w:val="22"/>
        <w:szCs w:val="22"/>
      </w:rPr>
      <w:fldChar w:fldCharType="separate"/>
    </w:r>
    <w:r w:rsidR="005F3D69">
      <w:rPr>
        <w:rFonts w:ascii="Calibri" w:hAnsi="Calibri"/>
        <w:noProof/>
        <w:sz w:val="22"/>
        <w:szCs w:val="22"/>
      </w:rPr>
      <w:t>2</w:t>
    </w:r>
    <w:r w:rsidR="000C65CB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F0389" w14:textId="77777777" w:rsidR="0082149C" w:rsidRDefault="0082149C" w:rsidP="006468DE">
      <w:r>
        <w:separator/>
      </w:r>
    </w:p>
  </w:footnote>
  <w:footnote w:type="continuationSeparator" w:id="0">
    <w:p w14:paraId="0FB47DAC" w14:textId="77777777" w:rsidR="0082149C" w:rsidRDefault="0082149C" w:rsidP="0064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7004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30A00"/>
    <w:multiLevelType w:val="multilevel"/>
    <w:tmpl w:val="CB04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97625"/>
    <w:multiLevelType w:val="hybridMultilevel"/>
    <w:tmpl w:val="DB72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1B"/>
    <w:rsid w:val="00016E35"/>
    <w:rsid w:val="00023D82"/>
    <w:rsid w:val="00023FF1"/>
    <w:rsid w:val="00053FB7"/>
    <w:rsid w:val="000B0B03"/>
    <w:rsid w:val="000C65CB"/>
    <w:rsid w:val="000F78FF"/>
    <w:rsid w:val="00104442"/>
    <w:rsid w:val="00113B22"/>
    <w:rsid w:val="00116F1C"/>
    <w:rsid w:val="00127AED"/>
    <w:rsid w:val="00133CAC"/>
    <w:rsid w:val="00153A69"/>
    <w:rsid w:val="00157ECC"/>
    <w:rsid w:val="0016000A"/>
    <w:rsid w:val="001643A8"/>
    <w:rsid w:val="0017023B"/>
    <w:rsid w:val="001A2B6E"/>
    <w:rsid w:val="001B4023"/>
    <w:rsid w:val="001B403D"/>
    <w:rsid w:val="001B4350"/>
    <w:rsid w:val="001C35A3"/>
    <w:rsid w:val="001D5675"/>
    <w:rsid w:val="002213F0"/>
    <w:rsid w:val="0024145D"/>
    <w:rsid w:val="0026313B"/>
    <w:rsid w:val="00267793"/>
    <w:rsid w:val="002717D2"/>
    <w:rsid w:val="002A4AA3"/>
    <w:rsid w:val="002F508A"/>
    <w:rsid w:val="00305E39"/>
    <w:rsid w:val="00325D79"/>
    <w:rsid w:val="003262F9"/>
    <w:rsid w:val="003500E5"/>
    <w:rsid w:val="00375F6B"/>
    <w:rsid w:val="003D3D9A"/>
    <w:rsid w:val="003F5E6F"/>
    <w:rsid w:val="00416C55"/>
    <w:rsid w:val="00422B07"/>
    <w:rsid w:val="004262DD"/>
    <w:rsid w:val="00444969"/>
    <w:rsid w:val="00484869"/>
    <w:rsid w:val="00493589"/>
    <w:rsid w:val="004964AF"/>
    <w:rsid w:val="004B35A3"/>
    <w:rsid w:val="004B5008"/>
    <w:rsid w:val="004E054B"/>
    <w:rsid w:val="004F1F44"/>
    <w:rsid w:val="00557BA2"/>
    <w:rsid w:val="00566972"/>
    <w:rsid w:val="00590330"/>
    <w:rsid w:val="005A323F"/>
    <w:rsid w:val="005A6BFD"/>
    <w:rsid w:val="005B136D"/>
    <w:rsid w:val="005C0895"/>
    <w:rsid w:val="005D37A8"/>
    <w:rsid w:val="005D7316"/>
    <w:rsid w:val="005D739A"/>
    <w:rsid w:val="005E1D03"/>
    <w:rsid w:val="005E3A7F"/>
    <w:rsid w:val="005F3D69"/>
    <w:rsid w:val="006215B9"/>
    <w:rsid w:val="00630A72"/>
    <w:rsid w:val="00632243"/>
    <w:rsid w:val="006468DE"/>
    <w:rsid w:val="00657DDF"/>
    <w:rsid w:val="00690344"/>
    <w:rsid w:val="006C6155"/>
    <w:rsid w:val="006D6A08"/>
    <w:rsid w:val="006D7706"/>
    <w:rsid w:val="00702778"/>
    <w:rsid w:val="007674B3"/>
    <w:rsid w:val="00784565"/>
    <w:rsid w:val="007E3C11"/>
    <w:rsid w:val="007F0ED6"/>
    <w:rsid w:val="0082149C"/>
    <w:rsid w:val="00880B7E"/>
    <w:rsid w:val="008D7AD5"/>
    <w:rsid w:val="008E301E"/>
    <w:rsid w:val="008E7F8D"/>
    <w:rsid w:val="008F33DD"/>
    <w:rsid w:val="009040ED"/>
    <w:rsid w:val="0091141D"/>
    <w:rsid w:val="00944DE4"/>
    <w:rsid w:val="00960F0F"/>
    <w:rsid w:val="009E4DD7"/>
    <w:rsid w:val="00A32387"/>
    <w:rsid w:val="00A44FE5"/>
    <w:rsid w:val="00A75773"/>
    <w:rsid w:val="00AD3402"/>
    <w:rsid w:val="00AF0011"/>
    <w:rsid w:val="00B105E1"/>
    <w:rsid w:val="00B13003"/>
    <w:rsid w:val="00B524E2"/>
    <w:rsid w:val="00B53AB3"/>
    <w:rsid w:val="00B80CD8"/>
    <w:rsid w:val="00BF3E7F"/>
    <w:rsid w:val="00C40A06"/>
    <w:rsid w:val="00CA0AC7"/>
    <w:rsid w:val="00CA191D"/>
    <w:rsid w:val="00CA6926"/>
    <w:rsid w:val="00CA7C17"/>
    <w:rsid w:val="00CF3A46"/>
    <w:rsid w:val="00D07C58"/>
    <w:rsid w:val="00D126F6"/>
    <w:rsid w:val="00D17862"/>
    <w:rsid w:val="00D97279"/>
    <w:rsid w:val="00DB09AD"/>
    <w:rsid w:val="00DB57B7"/>
    <w:rsid w:val="00DC046A"/>
    <w:rsid w:val="00DC161A"/>
    <w:rsid w:val="00DD1FCB"/>
    <w:rsid w:val="00DE1C0B"/>
    <w:rsid w:val="00E04818"/>
    <w:rsid w:val="00E06627"/>
    <w:rsid w:val="00E15FED"/>
    <w:rsid w:val="00E25847"/>
    <w:rsid w:val="00EC791B"/>
    <w:rsid w:val="00ED2196"/>
    <w:rsid w:val="00EE2EF8"/>
    <w:rsid w:val="00EE5B7A"/>
    <w:rsid w:val="00EF0744"/>
    <w:rsid w:val="00F17114"/>
    <w:rsid w:val="00F50E8E"/>
    <w:rsid w:val="00FA0B9D"/>
    <w:rsid w:val="00FB6591"/>
    <w:rsid w:val="00FD2D88"/>
    <w:rsid w:val="00F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754E6"/>
  <w15:docId w15:val="{C0F8EDBE-447D-204B-827C-087D1F5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5008"/>
    <w:rPr>
      <w:color w:val="0000FF"/>
      <w:u w:val="single"/>
    </w:rPr>
  </w:style>
  <w:style w:type="paragraph" w:styleId="Header">
    <w:name w:val="header"/>
    <w:basedOn w:val="Normal"/>
    <w:link w:val="HeaderChar"/>
    <w:rsid w:val="006468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68DE"/>
    <w:rPr>
      <w:sz w:val="24"/>
      <w:szCs w:val="24"/>
    </w:rPr>
  </w:style>
  <w:style w:type="paragraph" w:styleId="Footer">
    <w:name w:val="footer"/>
    <w:basedOn w:val="Normal"/>
    <w:link w:val="FooterChar"/>
    <w:rsid w:val="006468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468DE"/>
    <w:rPr>
      <w:sz w:val="24"/>
      <w:szCs w:val="24"/>
    </w:rPr>
  </w:style>
  <w:style w:type="paragraph" w:styleId="BalloonText">
    <w:name w:val="Balloon Text"/>
    <w:basedOn w:val="Normal"/>
    <w:link w:val="BalloonTextChar"/>
    <w:rsid w:val="00646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68DE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46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5B13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1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136D"/>
  </w:style>
  <w:style w:type="paragraph" w:styleId="CommentSubject">
    <w:name w:val="annotation subject"/>
    <w:basedOn w:val="CommentText"/>
    <w:next w:val="CommentText"/>
    <w:link w:val="CommentSubjectChar"/>
    <w:rsid w:val="005B136D"/>
    <w:rPr>
      <w:b/>
      <w:bCs/>
    </w:rPr>
  </w:style>
  <w:style w:type="character" w:customStyle="1" w:styleId="CommentSubjectChar">
    <w:name w:val="Comment Subject Char"/>
    <w:link w:val="CommentSubject"/>
    <w:rsid w:val="005B136D"/>
    <w:rPr>
      <w:b/>
      <w:bCs/>
    </w:rPr>
  </w:style>
  <w:style w:type="character" w:styleId="Emphasis">
    <w:name w:val="Emphasis"/>
    <w:uiPriority w:val="20"/>
    <w:qFormat/>
    <w:rsid w:val="005D37A8"/>
    <w:rPr>
      <w:i/>
      <w:iCs/>
    </w:rPr>
  </w:style>
  <w:style w:type="character" w:styleId="PageNumber">
    <w:name w:val="page number"/>
    <w:basedOn w:val="DefaultParagraphFont"/>
    <w:rsid w:val="000C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worksmaine.g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uwhere.com/coursedescription.php?courseID=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3FAD-B725-4DA0-8E3C-8E41F600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5186</Characters>
  <Application>Microsoft Office Word</Application>
  <DocSecurity>0</DocSecurity>
  <Lines>740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Bigelow Laboratory for Ocean Sciences</Company>
  <LinksUpToDate>false</LinksUpToDate>
  <CharactersWithSpaces>5446</CharactersWithSpaces>
  <SharedDoc>false</SharedDoc>
  <HLinks>
    <vt:vector size="12" baseType="variant">
      <vt:variant>
        <vt:i4>1507410</vt:i4>
      </vt:variant>
      <vt:variant>
        <vt:i4>3</vt:i4>
      </vt:variant>
      <vt:variant>
        <vt:i4>0</vt:i4>
      </vt:variant>
      <vt:variant>
        <vt:i4>5</vt:i4>
      </vt:variant>
      <vt:variant>
        <vt:lpwstr>http://eduwhere.com/coursedescription.php?courseID=18</vt:lpwstr>
      </vt:variant>
      <vt:variant>
        <vt:lpwstr/>
      </vt:variant>
      <vt:variant>
        <vt:i4>6094937</vt:i4>
      </vt:variant>
      <vt:variant>
        <vt:i4>0</vt:i4>
      </vt:variant>
      <vt:variant>
        <vt:i4>0</vt:i4>
      </vt:variant>
      <vt:variant>
        <vt:i4>5</vt:i4>
      </vt:variant>
      <vt:variant>
        <vt:lpwstr>http://www.safetyworksmaine.gov/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K Bellows</dc:creator>
  <cp:lastModifiedBy>Microsoft Office User</cp:lastModifiedBy>
  <cp:revision>2</cp:revision>
  <cp:lastPrinted>2020-05-23T13:33:00Z</cp:lastPrinted>
  <dcterms:created xsi:type="dcterms:W3CDTF">2021-08-31T17:35:00Z</dcterms:created>
  <dcterms:modified xsi:type="dcterms:W3CDTF">2021-08-31T17:35:00Z</dcterms:modified>
</cp:coreProperties>
</file>